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71C6D" w14:textId="1519AB90" w:rsidR="00B64614" w:rsidRDefault="00B64614" w:rsidP="006013F1">
      <w:pPr>
        <w:pStyle w:val="Title"/>
      </w:pPr>
      <w:r w:rsidRPr="002F6CE6">
        <w:t>Inspector-General of Aged Care</w:t>
      </w:r>
      <w:r w:rsidR="002F6CE6">
        <w:t xml:space="preserve"> </w:t>
      </w:r>
      <w:r w:rsidR="0036394D">
        <w:t>–</w:t>
      </w:r>
      <w:r w:rsidR="002F6CE6">
        <w:t xml:space="preserve"> </w:t>
      </w:r>
      <w:r w:rsidRPr="002F6CE6">
        <w:t>Complaints Handling Policy</w:t>
      </w:r>
    </w:p>
    <w:p w14:paraId="1A7BA946" w14:textId="77777777" w:rsidR="006013F1" w:rsidRDefault="006013F1" w:rsidP="006013F1">
      <w:pPr>
        <w:pStyle w:val="Subtitle"/>
      </w:pPr>
    </w:p>
    <w:p w14:paraId="19C7D317" w14:textId="2E4DB43C" w:rsidR="00EC1DA7" w:rsidRDefault="006013F1" w:rsidP="00297AE6">
      <w:pPr>
        <w:pStyle w:val="Subtitle"/>
      </w:pPr>
      <w:r>
        <w:t>October 2023</w:t>
      </w:r>
    </w:p>
    <w:p w14:paraId="62B23F52" w14:textId="5081F949" w:rsidR="004F3225" w:rsidRDefault="00AE0F76">
      <w:pPr>
        <w:pStyle w:val="TOC1"/>
        <w:tabs>
          <w:tab w:val="left" w:pos="440"/>
          <w:tab w:val="right" w:leader="dot" w:pos="9016"/>
        </w:tabs>
        <w:rPr>
          <w:rFonts w:eastAsiaTheme="minorEastAsia"/>
          <w:noProof/>
          <w:kern w:val="2"/>
          <w:lang w:val="en-GB" w:eastAsia="ja-JP"/>
          <w14:ligatures w14:val="standardContextual"/>
        </w:rPr>
      </w:pPr>
      <w:r>
        <w:rPr>
          <w:i/>
          <w:iCs/>
          <w:highlight w:val="yellow"/>
        </w:rPr>
        <w:fldChar w:fldCharType="begin"/>
      </w:r>
      <w:r>
        <w:rPr>
          <w:i/>
          <w:iCs/>
          <w:highlight w:val="yellow"/>
        </w:rPr>
        <w:instrText xml:space="preserve"> TOC \h \z \u \t "Heading 3,1" </w:instrText>
      </w:r>
      <w:r>
        <w:rPr>
          <w:i/>
          <w:iCs/>
          <w:highlight w:val="yellow"/>
        </w:rPr>
        <w:fldChar w:fldCharType="separate"/>
      </w:r>
      <w:hyperlink w:anchor="_Toc140678879" w:history="1">
        <w:r w:rsidR="004F3225" w:rsidRPr="00D103D4">
          <w:rPr>
            <w:rStyle w:val="Hyperlink"/>
            <w:noProof/>
          </w:rPr>
          <w:t>1.</w:t>
        </w:r>
        <w:r w:rsidR="004F3225">
          <w:rPr>
            <w:rFonts w:eastAsiaTheme="minorEastAsia"/>
            <w:noProof/>
            <w:kern w:val="2"/>
            <w:lang w:val="en-GB" w:eastAsia="ja-JP"/>
            <w14:ligatures w14:val="standardContextual"/>
          </w:rPr>
          <w:tab/>
        </w:r>
        <w:r w:rsidR="004F3225" w:rsidRPr="00D103D4">
          <w:rPr>
            <w:rStyle w:val="Hyperlink"/>
            <w:noProof/>
          </w:rPr>
          <w:t>Introduction</w:t>
        </w:r>
        <w:r w:rsidR="004F3225">
          <w:rPr>
            <w:noProof/>
            <w:webHidden/>
          </w:rPr>
          <w:tab/>
        </w:r>
        <w:r w:rsidR="004F3225">
          <w:rPr>
            <w:noProof/>
            <w:webHidden/>
          </w:rPr>
          <w:fldChar w:fldCharType="begin"/>
        </w:r>
        <w:r w:rsidR="004F3225">
          <w:rPr>
            <w:noProof/>
            <w:webHidden/>
          </w:rPr>
          <w:instrText xml:space="preserve"> PAGEREF _Toc140678879 \h </w:instrText>
        </w:r>
        <w:r w:rsidR="004F3225">
          <w:rPr>
            <w:noProof/>
            <w:webHidden/>
          </w:rPr>
        </w:r>
        <w:r w:rsidR="004F3225">
          <w:rPr>
            <w:noProof/>
            <w:webHidden/>
          </w:rPr>
          <w:fldChar w:fldCharType="separate"/>
        </w:r>
        <w:r w:rsidR="00135AAB">
          <w:rPr>
            <w:noProof/>
            <w:webHidden/>
          </w:rPr>
          <w:t>1</w:t>
        </w:r>
        <w:r w:rsidR="004F3225">
          <w:rPr>
            <w:noProof/>
            <w:webHidden/>
          </w:rPr>
          <w:fldChar w:fldCharType="end"/>
        </w:r>
      </w:hyperlink>
    </w:p>
    <w:p w14:paraId="6B340C3F" w14:textId="17A56216" w:rsidR="004F3225" w:rsidRDefault="006A37E1">
      <w:pPr>
        <w:pStyle w:val="TOC1"/>
        <w:tabs>
          <w:tab w:val="left" w:pos="440"/>
          <w:tab w:val="right" w:leader="dot" w:pos="9016"/>
        </w:tabs>
        <w:rPr>
          <w:rFonts w:eastAsiaTheme="minorEastAsia"/>
          <w:noProof/>
          <w:kern w:val="2"/>
          <w:lang w:val="en-GB" w:eastAsia="ja-JP"/>
          <w14:ligatures w14:val="standardContextual"/>
        </w:rPr>
      </w:pPr>
      <w:hyperlink w:anchor="_Toc140678880" w:history="1">
        <w:r w:rsidR="004F3225" w:rsidRPr="00D103D4">
          <w:rPr>
            <w:rStyle w:val="Hyperlink"/>
            <w:noProof/>
          </w:rPr>
          <w:t>2.</w:t>
        </w:r>
        <w:r w:rsidR="004F3225">
          <w:rPr>
            <w:rFonts w:eastAsiaTheme="minorEastAsia"/>
            <w:noProof/>
            <w:kern w:val="2"/>
            <w:lang w:val="en-GB" w:eastAsia="ja-JP"/>
            <w14:ligatures w14:val="standardContextual"/>
          </w:rPr>
          <w:tab/>
        </w:r>
        <w:r w:rsidR="004F3225" w:rsidRPr="00D103D4">
          <w:rPr>
            <w:rStyle w:val="Hyperlink"/>
            <w:noProof/>
          </w:rPr>
          <w:t>Purpose</w:t>
        </w:r>
        <w:r w:rsidR="004F3225">
          <w:rPr>
            <w:noProof/>
            <w:webHidden/>
          </w:rPr>
          <w:tab/>
        </w:r>
        <w:r w:rsidR="004F3225">
          <w:rPr>
            <w:noProof/>
            <w:webHidden/>
          </w:rPr>
          <w:fldChar w:fldCharType="begin"/>
        </w:r>
        <w:r w:rsidR="004F3225">
          <w:rPr>
            <w:noProof/>
            <w:webHidden/>
          </w:rPr>
          <w:instrText xml:space="preserve"> PAGEREF _Toc140678880 \h </w:instrText>
        </w:r>
        <w:r w:rsidR="004F3225">
          <w:rPr>
            <w:noProof/>
            <w:webHidden/>
          </w:rPr>
        </w:r>
        <w:r w:rsidR="004F3225">
          <w:rPr>
            <w:noProof/>
            <w:webHidden/>
          </w:rPr>
          <w:fldChar w:fldCharType="separate"/>
        </w:r>
        <w:r w:rsidR="00135AAB">
          <w:rPr>
            <w:noProof/>
            <w:webHidden/>
          </w:rPr>
          <w:t>1</w:t>
        </w:r>
        <w:r w:rsidR="004F3225">
          <w:rPr>
            <w:noProof/>
            <w:webHidden/>
          </w:rPr>
          <w:fldChar w:fldCharType="end"/>
        </w:r>
      </w:hyperlink>
    </w:p>
    <w:p w14:paraId="46C6B676" w14:textId="1C1B52CE" w:rsidR="004F3225" w:rsidRDefault="006A37E1">
      <w:pPr>
        <w:pStyle w:val="TOC1"/>
        <w:tabs>
          <w:tab w:val="left" w:pos="440"/>
          <w:tab w:val="right" w:leader="dot" w:pos="9016"/>
        </w:tabs>
        <w:rPr>
          <w:rFonts w:eastAsiaTheme="minorEastAsia"/>
          <w:noProof/>
          <w:kern w:val="2"/>
          <w:lang w:val="en-GB" w:eastAsia="ja-JP"/>
          <w14:ligatures w14:val="standardContextual"/>
        </w:rPr>
      </w:pPr>
      <w:hyperlink w:anchor="_Toc140678881" w:history="1">
        <w:r w:rsidR="004F3225" w:rsidRPr="00D103D4">
          <w:rPr>
            <w:rStyle w:val="Hyperlink"/>
            <w:noProof/>
          </w:rPr>
          <w:t>3.</w:t>
        </w:r>
        <w:r w:rsidR="004F3225">
          <w:rPr>
            <w:rFonts w:eastAsiaTheme="minorEastAsia"/>
            <w:noProof/>
            <w:kern w:val="2"/>
            <w:lang w:val="en-GB" w:eastAsia="ja-JP"/>
            <w14:ligatures w14:val="standardContextual"/>
          </w:rPr>
          <w:tab/>
        </w:r>
        <w:r w:rsidR="004F3225" w:rsidRPr="00D103D4">
          <w:rPr>
            <w:rStyle w:val="Hyperlink"/>
            <w:noProof/>
          </w:rPr>
          <w:t>Scope</w:t>
        </w:r>
        <w:r w:rsidR="004F3225">
          <w:rPr>
            <w:noProof/>
            <w:webHidden/>
          </w:rPr>
          <w:tab/>
        </w:r>
        <w:r w:rsidR="004F3225">
          <w:rPr>
            <w:noProof/>
            <w:webHidden/>
          </w:rPr>
          <w:fldChar w:fldCharType="begin"/>
        </w:r>
        <w:r w:rsidR="004F3225">
          <w:rPr>
            <w:noProof/>
            <w:webHidden/>
          </w:rPr>
          <w:instrText xml:space="preserve"> PAGEREF _Toc140678881 \h </w:instrText>
        </w:r>
        <w:r w:rsidR="004F3225">
          <w:rPr>
            <w:noProof/>
            <w:webHidden/>
          </w:rPr>
        </w:r>
        <w:r w:rsidR="004F3225">
          <w:rPr>
            <w:noProof/>
            <w:webHidden/>
          </w:rPr>
          <w:fldChar w:fldCharType="separate"/>
        </w:r>
        <w:r w:rsidR="00135AAB">
          <w:rPr>
            <w:noProof/>
            <w:webHidden/>
          </w:rPr>
          <w:t>1</w:t>
        </w:r>
        <w:r w:rsidR="004F3225">
          <w:rPr>
            <w:noProof/>
            <w:webHidden/>
          </w:rPr>
          <w:fldChar w:fldCharType="end"/>
        </w:r>
      </w:hyperlink>
    </w:p>
    <w:p w14:paraId="5052A428" w14:textId="5FD4F55C" w:rsidR="004F3225" w:rsidRDefault="006A37E1">
      <w:pPr>
        <w:pStyle w:val="TOC1"/>
        <w:tabs>
          <w:tab w:val="left" w:pos="440"/>
          <w:tab w:val="right" w:leader="dot" w:pos="9016"/>
        </w:tabs>
        <w:rPr>
          <w:rFonts w:eastAsiaTheme="minorEastAsia"/>
          <w:noProof/>
          <w:kern w:val="2"/>
          <w:lang w:val="en-GB" w:eastAsia="ja-JP"/>
          <w14:ligatures w14:val="standardContextual"/>
        </w:rPr>
      </w:pPr>
      <w:hyperlink w:anchor="_Toc140678882" w:history="1">
        <w:r w:rsidR="004F3225" w:rsidRPr="00D103D4">
          <w:rPr>
            <w:rStyle w:val="Hyperlink"/>
            <w:noProof/>
          </w:rPr>
          <w:t>4.</w:t>
        </w:r>
        <w:r w:rsidR="004F3225">
          <w:rPr>
            <w:rFonts w:eastAsiaTheme="minorEastAsia"/>
            <w:noProof/>
            <w:kern w:val="2"/>
            <w:lang w:val="en-GB" w:eastAsia="ja-JP"/>
            <w14:ligatures w14:val="standardContextual"/>
          </w:rPr>
          <w:tab/>
        </w:r>
        <w:r w:rsidR="004F3225" w:rsidRPr="00D103D4">
          <w:rPr>
            <w:rStyle w:val="Hyperlink"/>
            <w:noProof/>
          </w:rPr>
          <w:t>Definition</w:t>
        </w:r>
        <w:r w:rsidR="004F3225">
          <w:rPr>
            <w:noProof/>
            <w:webHidden/>
          </w:rPr>
          <w:tab/>
        </w:r>
        <w:r w:rsidR="004F3225">
          <w:rPr>
            <w:noProof/>
            <w:webHidden/>
          </w:rPr>
          <w:fldChar w:fldCharType="begin"/>
        </w:r>
        <w:r w:rsidR="004F3225">
          <w:rPr>
            <w:noProof/>
            <w:webHidden/>
          </w:rPr>
          <w:instrText xml:space="preserve"> PAGEREF _Toc140678882 \h </w:instrText>
        </w:r>
        <w:r w:rsidR="004F3225">
          <w:rPr>
            <w:noProof/>
            <w:webHidden/>
          </w:rPr>
        </w:r>
        <w:r w:rsidR="004F3225">
          <w:rPr>
            <w:noProof/>
            <w:webHidden/>
          </w:rPr>
          <w:fldChar w:fldCharType="separate"/>
        </w:r>
        <w:r w:rsidR="00135AAB">
          <w:rPr>
            <w:noProof/>
            <w:webHidden/>
          </w:rPr>
          <w:t>2</w:t>
        </w:r>
        <w:r w:rsidR="004F3225">
          <w:rPr>
            <w:noProof/>
            <w:webHidden/>
          </w:rPr>
          <w:fldChar w:fldCharType="end"/>
        </w:r>
      </w:hyperlink>
    </w:p>
    <w:p w14:paraId="0D7083D4" w14:textId="29B813C4" w:rsidR="004F3225" w:rsidRDefault="006A37E1">
      <w:pPr>
        <w:pStyle w:val="TOC1"/>
        <w:tabs>
          <w:tab w:val="left" w:pos="440"/>
          <w:tab w:val="right" w:leader="dot" w:pos="9016"/>
        </w:tabs>
        <w:rPr>
          <w:rFonts w:eastAsiaTheme="minorEastAsia"/>
          <w:noProof/>
          <w:kern w:val="2"/>
          <w:lang w:val="en-GB" w:eastAsia="ja-JP"/>
          <w14:ligatures w14:val="standardContextual"/>
        </w:rPr>
      </w:pPr>
      <w:hyperlink w:anchor="_Toc140678883" w:history="1">
        <w:r w:rsidR="004F3225" w:rsidRPr="00D103D4">
          <w:rPr>
            <w:rStyle w:val="Hyperlink"/>
            <w:noProof/>
          </w:rPr>
          <w:t>5.</w:t>
        </w:r>
        <w:r w:rsidR="004F3225">
          <w:rPr>
            <w:rFonts w:eastAsiaTheme="minorEastAsia"/>
            <w:noProof/>
            <w:kern w:val="2"/>
            <w:lang w:val="en-GB" w:eastAsia="ja-JP"/>
            <w14:ligatures w14:val="standardContextual"/>
          </w:rPr>
          <w:tab/>
        </w:r>
        <w:r w:rsidR="004F3225" w:rsidRPr="00D103D4">
          <w:rPr>
            <w:rStyle w:val="Hyperlink"/>
            <w:noProof/>
          </w:rPr>
          <w:t>Who can make a complaint?</w:t>
        </w:r>
        <w:r w:rsidR="004F3225">
          <w:rPr>
            <w:noProof/>
            <w:webHidden/>
          </w:rPr>
          <w:tab/>
        </w:r>
        <w:r w:rsidR="004F3225">
          <w:rPr>
            <w:noProof/>
            <w:webHidden/>
          </w:rPr>
          <w:fldChar w:fldCharType="begin"/>
        </w:r>
        <w:r w:rsidR="004F3225">
          <w:rPr>
            <w:noProof/>
            <w:webHidden/>
          </w:rPr>
          <w:instrText xml:space="preserve"> PAGEREF _Toc140678883 \h </w:instrText>
        </w:r>
        <w:r w:rsidR="004F3225">
          <w:rPr>
            <w:noProof/>
            <w:webHidden/>
          </w:rPr>
        </w:r>
        <w:r w:rsidR="004F3225">
          <w:rPr>
            <w:noProof/>
            <w:webHidden/>
          </w:rPr>
          <w:fldChar w:fldCharType="separate"/>
        </w:r>
        <w:r w:rsidR="00135AAB">
          <w:rPr>
            <w:noProof/>
            <w:webHidden/>
          </w:rPr>
          <w:t>2</w:t>
        </w:r>
        <w:r w:rsidR="004F3225">
          <w:rPr>
            <w:noProof/>
            <w:webHidden/>
          </w:rPr>
          <w:fldChar w:fldCharType="end"/>
        </w:r>
      </w:hyperlink>
    </w:p>
    <w:p w14:paraId="307E01B5" w14:textId="0D41B308" w:rsidR="004F3225" w:rsidRDefault="006A37E1">
      <w:pPr>
        <w:pStyle w:val="TOC1"/>
        <w:tabs>
          <w:tab w:val="left" w:pos="440"/>
          <w:tab w:val="right" w:leader="dot" w:pos="9016"/>
        </w:tabs>
        <w:rPr>
          <w:rFonts w:eastAsiaTheme="minorEastAsia"/>
          <w:noProof/>
          <w:kern w:val="2"/>
          <w:lang w:val="en-GB" w:eastAsia="ja-JP"/>
          <w14:ligatures w14:val="standardContextual"/>
        </w:rPr>
      </w:pPr>
      <w:hyperlink w:anchor="_Toc140678884" w:history="1">
        <w:r w:rsidR="004F3225" w:rsidRPr="00D103D4">
          <w:rPr>
            <w:rStyle w:val="Hyperlink"/>
            <w:rFonts w:ascii="Calibri Light" w:hAnsi="Calibri Light"/>
            <w:noProof/>
          </w:rPr>
          <w:t>6.</w:t>
        </w:r>
        <w:r w:rsidR="004F3225">
          <w:rPr>
            <w:rFonts w:eastAsiaTheme="minorEastAsia"/>
            <w:noProof/>
            <w:kern w:val="2"/>
            <w:lang w:val="en-GB" w:eastAsia="ja-JP"/>
            <w14:ligatures w14:val="standardContextual"/>
          </w:rPr>
          <w:tab/>
        </w:r>
        <w:r w:rsidR="004F3225" w:rsidRPr="00D103D4">
          <w:rPr>
            <w:rStyle w:val="Hyperlink"/>
            <w:noProof/>
          </w:rPr>
          <w:t>Principles</w:t>
        </w:r>
        <w:r w:rsidR="004F3225">
          <w:rPr>
            <w:noProof/>
            <w:webHidden/>
          </w:rPr>
          <w:tab/>
        </w:r>
        <w:r w:rsidR="004F3225">
          <w:rPr>
            <w:noProof/>
            <w:webHidden/>
          </w:rPr>
          <w:fldChar w:fldCharType="begin"/>
        </w:r>
        <w:r w:rsidR="004F3225">
          <w:rPr>
            <w:noProof/>
            <w:webHidden/>
          </w:rPr>
          <w:instrText xml:space="preserve"> PAGEREF _Toc140678884 \h </w:instrText>
        </w:r>
        <w:r w:rsidR="004F3225">
          <w:rPr>
            <w:noProof/>
            <w:webHidden/>
          </w:rPr>
        </w:r>
        <w:r w:rsidR="004F3225">
          <w:rPr>
            <w:noProof/>
            <w:webHidden/>
          </w:rPr>
          <w:fldChar w:fldCharType="separate"/>
        </w:r>
        <w:r w:rsidR="00135AAB">
          <w:rPr>
            <w:noProof/>
            <w:webHidden/>
          </w:rPr>
          <w:t>2</w:t>
        </w:r>
        <w:r w:rsidR="004F3225">
          <w:rPr>
            <w:noProof/>
            <w:webHidden/>
          </w:rPr>
          <w:fldChar w:fldCharType="end"/>
        </w:r>
      </w:hyperlink>
    </w:p>
    <w:p w14:paraId="6D143E3D" w14:textId="77BAA6BE" w:rsidR="004F3225" w:rsidRDefault="006A37E1">
      <w:pPr>
        <w:pStyle w:val="TOC1"/>
        <w:tabs>
          <w:tab w:val="left" w:pos="440"/>
          <w:tab w:val="right" w:leader="dot" w:pos="9016"/>
        </w:tabs>
        <w:rPr>
          <w:rFonts w:eastAsiaTheme="minorEastAsia"/>
          <w:noProof/>
          <w:kern w:val="2"/>
          <w:lang w:val="en-GB" w:eastAsia="ja-JP"/>
          <w14:ligatures w14:val="standardContextual"/>
        </w:rPr>
      </w:pPr>
      <w:hyperlink w:anchor="_Toc140678885" w:history="1">
        <w:r w:rsidR="004F3225" w:rsidRPr="00D103D4">
          <w:rPr>
            <w:rStyle w:val="Hyperlink"/>
            <w:noProof/>
          </w:rPr>
          <w:t>7.</w:t>
        </w:r>
        <w:r w:rsidR="004F3225">
          <w:rPr>
            <w:rFonts w:eastAsiaTheme="minorEastAsia"/>
            <w:noProof/>
            <w:kern w:val="2"/>
            <w:lang w:val="en-GB" w:eastAsia="ja-JP"/>
            <w14:ligatures w14:val="standardContextual"/>
          </w:rPr>
          <w:tab/>
        </w:r>
        <w:r w:rsidR="004F3225" w:rsidRPr="00D103D4">
          <w:rPr>
            <w:rStyle w:val="Hyperlink"/>
            <w:noProof/>
          </w:rPr>
          <w:t>How to make a complaint</w:t>
        </w:r>
        <w:r w:rsidR="004F3225">
          <w:rPr>
            <w:noProof/>
            <w:webHidden/>
          </w:rPr>
          <w:tab/>
        </w:r>
        <w:r w:rsidR="004F3225">
          <w:rPr>
            <w:noProof/>
            <w:webHidden/>
          </w:rPr>
          <w:fldChar w:fldCharType="begin"/>
        </w:r>
        <w:r w:rsidR="004F3225">
          <w:rPr>
            <w:noProof/>
            <w:webHidden/>
          </w:rPr>
          <w:instrText xml:space="preserve"> PAGEREF _Toc140678885 \h </w:instrText>
        </w:r>
        <w:r w:rsidR="004F3225">
          <w:rPr>
            <w:noProof/>
            <w:webHidden/>
          </w:rPr>
        </w:r>
        <w:r w:rsidR="004F3225">
          <w:rPr>
            <w:noProof/>
            <w:webHidden/>
          </w:rPr>
          <w:fldChar w:fldCharType="separate"/>
        </w:r>
        <w:r w:rsidR="00135AAB">
          <w:rPr>
            <w:noProof/>
            <w:webHidden/>
          </w:rPr>
          <w:t>3</w:t>
        </w:r>
        <w:r w:rsidR="004F3225">
          <w:rPr>
            <w:noProof/>
            <w:webHidden/>
          </w:rPr>
          <w:fldChar w:fldCharType="end"/>
        </w:r>
      </w:hyperlink>
    </w:p>
    <w:p w14:paraId="3CA4A0EC" w14:textId="47E0BD22" w:rsidR="004F3225" w:rsidRDefault="006A37E1">
      <w:pPr>
        <w:pStyle w:val="TOC1"/>
        <w:tabs>
          <w:tab w:val="left" w:pos="440"/>
          <w:tab w:val="right" w:leader="dot" w:pos="9016"/>
        </w:tabs>
        <w:rPr>
          <w:rFonts w:eastAsiaTheme="minorEastAsia"/>
          <w:noProof/>
          <w:kern w:val="2"/>
          <w:lang w:val="en-GB" w:eastAsia="ja-JP"/>
          <w14:ligatures w14:val="standardContextual"/>
        </w:rPr>
      </w:pPr>
      <w:hyperlink w:anchor="_Toc140678886" w:history="1">
        <w:r w:rsidR="004F3225" w:rsidRPr="00D103D4">
          <w:rPr>
            <w:rStyle w:val="Hyperlink"/>
            <w:noProof/>
          </w:rPr>
          <w:t>8.</w:t>
        </w:r>
        <w:r w:rsidR="004F3225">
          <w:rPr>
            <w:rFonts w:eastAsiaTheme="minorEastAsia"/>
            <w:noProof/>
            <w:kern w:val="2"/>
            <w:lang w:val="en-GB" w:eastAsia="ja-JP"/>
            <w14:ligatures w14:val="standardContextual"/>
          </w:rPr>
          <w:tab/>
        </w:r>
        <w:r w:rsidR="004F3225" w:rsidRPr="00D103D4">
          <w:rPr>
            <w:rStyle w:val="Hyperlink"/>
            <w:noProof/>
          </w:rPr>
          <w:t>Complaints handling process</w:t>
        </w:r>
        <w:r w:rsidR="004F3225">
          <w:rPr>
            <w:noProof/>
            <w:webHidden/>
          </w:rPr>
          <w:tab/>
        </w:r>
        <w:r w:rsidR="004F3225">
          <w:rPr>
            <w:noProof/>
            <w:webHidden/>
          </w:rPr>
          <w:fldChar w:fldCharType="begin"/>
        </w:r>
        <w:r w:rsidR="004F3225">
          <w:rPr>
            <w:noProof/>
            <w:webHidden/>
          </w:rPr>
          <w:instrText xml:space="preserve"> PAGEREF _Toc140678886 \h </w:instrText>
        </w:r>
        <w:r w:rsidR="004F3225">
          <w:rPr>
            <w:noProof/>
            <w:webHidden/>
          </w:rPr>
        </w:r>
        <w:r w:rsidR="004F3225">
          <w:rPr>
            <w:noProof/>
            <w:webHidden/>
          </w:rPr>
          <w:fldChar w:fldCharType="separate"/>
        </w:r>
        <w:r w:rsidR="00135AAB">
          <w:rPr>
            <w:noProof/>
            <w:webHidden/>
          </w:rPr>
          <w:t>3</w:t>
        </w:r>
        <w:r w:rsidR="004F3225">
          <w:rPr>
            <w:noProof/>
            <w:webHidden/>
          </w:rPr>
          <w:fldChar w:fldCharType="end"/>
        </w:r>
      </w:hyperlink>
    </w:p>
    <w:p w14:paraId="12BE53D4" w14:textId="7732279A" w:rsidR="004F3225" w:rsidRDefault="006A37E1">
      <w:pPr>
        <w:pStyle w:val="TOC1"/>
        <w:tabs>
          <w:tab w:val="left" w:pos="440"/>
          <w:tab w:val="right" w:leader="dot" w:pos="9016"/>
        </w:tabs>
        <w:rPr>
          <w:rFonts w:eastAsiaTheme="minorEastAsia"/>
          <w:noProof/>
          <w:kern w:val="2"/>
          <w:lang w:val="en-GB" w:eastAsia="ja-JP"/>
          <w14:ligatures w14:val="standardContextual"/>
        </w:rPr>
      </w:pPr>
      <w:hyperlink w:anchor="_Toc140678887" w:history="1">
        <w:r w:rsidR="004F3225" w:rsidRPr="00D103D4">
          <w:rPr>
            <w:rStyle w:val="Hyperlink"/>
            <w:noProof/>
          </w:rPr>
          <w:t>9.</w:t>
        </w:r>
        <w:r w:rsidR="004F3225">
          <w:rPr>
            <w:rFonts w:eastAsiaTheme="minorEastAsia"/>
            <w:noProof/>
            <w:kern w:val="2"/>
            <w:lang w:val="en-GB" w:eastAsia="ja-JP"/>
            <w14:ligatures w14:val="standardContextual"/>
          </w:rPr>
          <w:tab/>
        </w:r>
        <w:r w:rsidR="004F3225" w:rsidRPr="00D103D4">
          <w:rPr>
            <w:rStyle w:val="Hyperlink"/>
            <w:noProof/>
          </w:rPr>
          <w:t>Record keeping</w:t>
        </w:r>
        <w:r w:rsidR="004F3225">
          <w:rPr>
            <w:noProof/>
            <w:webHidden/>
          </w:rPr>
          <w:tab/>
        </w:r>
        <w:r w:rsidR="004F3225">
          <w:rPr>
            <w:noProof/>
            <w:webHidden/>
          </w:rPr>
          <w:fldChar w:fldCharType="begin"/>
        </w:r>
        <w:r w:rsidR="004F3225">
          <w:rPr>
            <w:noProof/>
            <w:webHidden/>
          </w:rPr>
          <w:instrText xml:space="preserve"> PAGEREF _Toc140678887 \h </w:instrText>
        </w:r>
        <w:r w:rsidR="004F3225">
          <w:rPr>
            <w:noProof/>
            <w:webHidden/>
          </w:rPr>
        </w:r>
        <w:r w:rsidR="004F3225">
          <w:rPr>
            <w:noProof/>
            <w:webHidden/>
          </w:rPr>
          <w:fldChar w:fldCharType="separate"/>
        </w:r>
        <w:r w:rsidR="00135AAB">
          <w:rPr>
            <w:noProof/>
            <w:webHidden/>
          </w:rPr>
          <w:t>4</w:t>
        </w:r>
        <w:r w:rsidR="004F3225">
          <w:rPr>
            <w:noProof/>
            <w:webHidden/>
          </w:rPr>
          <w:fldChar w:fldCharType="end"/>
        </w:r>
      </w:hyperlink>
    </w:p>
    <w:p w14:paraId="2AA2BA8B" w14:textId="05C4E3D6" w:rsidR="004F3225" w:rsidRDefault="006A37E1">
      <w:pPr>
        <w:pStyle w:val="TOC1"/>
        <w:tabs>
          <w:tab w:val="left" w:pos="660"/>
          <w:tab w:val="right" w:leader="dot" w:pos="9016"/>
        </w:tabs>
        <w:rPr>
          <w:rFonts w:eastAsiaTheme="minorEastAsia"/>
          <w:noProof/>
          <w:kern w:val="2"/>
          <w:lang w:val="en-GB" w:eastAsia="ja-JP"/>
          <w14:ligatures w14:val="standardContextual"/>
        </w:rPr>
      </w:pPr>
      <w:hyperlink w:anchor="_Toc140678888" w:history="1">
        <w:r w:rsidR="004F3225" w:rsidRPr="00D103D4">
          <w:rPr>
            <w:rStyle w:val="Hyperlink"/>
            <w:noProof/>
          </w:rPr>
          <w:t>10.</w:t>
        </w:r>
        <w:r w:rsidR="004F3225">
          <w:rPr>
            <w:rFonts w:eastAsiaTheme="minorEastAsia"/>
            <w:noProof/>
            <w:kern w:val="2"/>
            <w:lang w:val="en-GB" w:eastAsia="ja-JP"/>
            <w14:ligatures w14:val="standardContextual"/>
          </w:rPr>
          <w:tab/>
        </w:r>
        <w:r w:rsidR="004F3225" w:rsidRPr="00D103D4">
          <w:rPr>
            <w:rStyle w:val="Hyperlink"/>
            <w:noProof/>
          </w:rPr>
          <w:t>Relevant legislation and policies</w:t>
        </w:r>
        <w:r w:rsidR="004F3225">
          <w:rPr>
            <w:noProof/>
            <w:webHidden/>
          </w:rPr>
          <w:tab/>
        </w:r>
        <w:r w:rsidR="004F3225">
          <w:rPr>
            <w:noProof/>
            <w:webHidden/>
          </w:rPr>
          <w:fldChar w:fldCharType="begin"/>
        </w:r>
        <w:r w:rsidR="004F3225">
          <w:rPr>
            <w:noProof/>
            <w:webHidden/>
          </w:rPr>
          <w:instrText xml:space="preserve"> PAGEREF _Toc140678888 \h </w:instrText>
        </w:r>
        <w:r w:rsidR="004F3225">
          <w:rPr>
            <w:noProof/>
            <w:webHidden/>
          </w:rPr>
        </w:r>
        <w:r w:rsidR="004F3225">
          <w:rPr>
            <w:noProof/>
            <w:webHidden/>
          </w:rPr>
          <w:fldChar w:fldCharType="separate"/>
        </w:r>
        <w:r w:rsidR="00135AAB">
          <w:rPr>
            <w:noProof/>
            <w:webHidden/>
          </w:rPr>
          <w:t>4</w:t>
        </w:r>
        <w:r w:rsidR="004F3225">
          <w:rPr>
            <w:noProof/>
            <w:webHidden/>
          </w:rPr>
          <w:fldChar w:fldCharType="end"/>
        </w:r>
      </w:hyperlink>
    </w:p>
    <w:p w14:paraId="30AEBE63" w14:textId="77777777" w:rsidR="00297AE6" w:rsidRPr="00297AE6" w:rsidRDefault="00AE0F76" w:rsidP="00297AE6">
      <w:r>
        <w:rPr>
          <w:i/>
          <w:iCs/>
          <w:highlight w:val="yellow"/>
        </w:rPr>
        <w:fldChar w:fldCharType="end"/>
      </w:r>
      <w:bookmarkStart w:id="0" w:name="_Toc140678879"/>
    </w:p>
    <w:p w14:paraId="2CC6FBAB" w14:textId="76081F89" w:rsidR="000D7909" w:rsidRPr="00DF10D1" w:rsidRDefault="000D7909" w:rsidP="00DF10D1">
      <w:pPr>
        <w:pStyle w:val="Heading2"/>
      </w:pPr>
      <w:r w:rsidRPr="00DF10D1">
        <w:t>Introduction</w:t>
      </w:r>
      <w:bookmarkEnd w:id="0"/>
    </w:p>
    <w:p w14:paraId="2D83EFA9" w14:textId="72F94A1E" w:rsidR="003E1728" w:rsidRDefault="000D7909" w:rsidP="00B64614">
      <w:r>
        <w:t xml:space="preserve">The </w:t>
      </w:r>
      <w:r w:rsidR="187C9AAC">
        <w:t xml:space="preserve">Office of the </w:t>
      </w:r>
      <w:r>
        <w:t>Inspector-General of Aged Care</w:t>
      </w:r>
      <w:r w:rsidR="00D677E1">
        <w:t xml:space="preserve"> </w:t>
      </w:r>
      <w:r w:rsidR="3A3377CA">
        <w:t>(the Office)</w:t>
      </w:r>
      <w:r w:rsidR="08E16A46">
        <w:t xml:space="preserve"> suppor</w:t>
      </w:r>
      <w:r w:rsidR="76B60B5D">
        <w:t xml:space="preserve">ts the Inspector-General of Aged Care to exercise </w:t>
      </w:r>
      <w:r w:rsidR="00D05A9B">
        <w:t xml:space="preserve">independent oversight of the Government’s funding, </w:t>
      </w:r>
      <w:r w:rsidR="003E1728">
        <w:t>regulation,</w:t>
      </w:r>
      <w:r w:rsidR="00D05A9B">
        <w:t xml:space="preserve"> and administration of the </w:t>
      </w:r>
      <w:r w:rsidR="00D677E1">
        <w:t>aged care s</w:t>
      </w:r>
      <w:r w:rsidR="00D05A9B">
        <w:t>ystem</w:t>
      </w:r>
      <w:r w:rsidR="00D677E1">
        <w:t xml:space="preserve">. </w:t>
      </w:r>
    </w:p>
    <w:p w14:paraId="0865EB3E" w14:textId="0486C41B" w:rsidR="003E1728" w:rsidRDefault="00D677E1" w:rsidP="00B64614">
      <w:r>
        <w:t xml:space="preserve">The </w:t>
      </w:r>
      <w:r w:rsidR="15AE970E">
        <w:t xml:space="preserve">Office </w:t>
      </w:r>
      <w:r w:rsidR="000D7909">
        <w:t xml:space="preserve">is committed to resolving complaints about its conduct fairly, efficiently, and effectively. </w:t>
      </w:r>
      <w:r w:rsidR="003E1728">
        <w:t xml:space="preserve">Importantly, the </w:t>
      </w:r>
      <w:r w:rsidR="6FBAFC45">
        <w:t xml:space="preserve">Office </w:t>
      </w:r>
      <w:r w:rsidR="003E1728">
        <w:t>does not investigate individual complaints related to aged care.</w:t>
      </w:r>
    </w:p>
    <w:p w14:paraId="602BABAB" w14:textId="5F40958C" w:rsidR="000D7909" w:rsidRDefault="000D7909" w:rsidP="00B64614">
      <w:r>
        <w:t>We apply the principles of natural justice and procedural fairness i</w:t>
      </w:r>
      <w:r w:rsidR="00D23774">
        <w:t>n</w:t>
      </w:r>
      <w:r>
        <w:t xml:space="preserve"> investigating and responding to complaints.</w:t>
      </w:r>
    </w:p>
    <w:p w14:paraId="46097309" w14:textId="02A998F6" w:rsidR="000D7909" w:rsidRDefault="000D7909" w:rsidP="00B64614">
      <w:r>
        <w:t>We welcome feedback from</w:t>
      </w:r>
      <w:r w:rsidR="00A829F0">
        <w:t xml:space="preserve"> members of the public and other</w:t>
      </w:r>
      <w:r>
        <w:t xml:space="preserve"> external stakeholders. Through this policy, we demonstrate our commitment to actively seek and use feedback received via complaints to improve the way we do things.</w:t>
      </w:r>
    </w:p>
    <w:p w14:paraId="7D79DEF7" w14:textId="37CA8217" w:rsidR="00B64614" w:rsidRPr="002F6CE6" w:rsidRDefault="006E072F" w:rsidP="00DF10D1">
      <w:pPr>
        <w:pStyle w:val="Heading2"/>
      </w:pPr>
      <w:bookmarkStart w:id="1" w:name="_Toc140678880"/>
      <w:r w:rsidRPr="002F6CE6">
        <w:t>Purpose</w:t>
      </w:r>
      <w:bookmarkEnd w:id="1"/>
    </w:p>
    <w:p w14:paraId="476BB245" w14:textId="77777777" w:rsidR="00B64614" w:rsidRDefault="00B64614" w:rsidP="00B64614">
      <w:r>
        <w:t>This policy aims to:</w:t>
      </w:r>
    </w:p>
    <w:p w14:paraId="463F18C4" w14:textId="77777777" w:rsidR="00B64614" w:rsidRDefault="00B64614" w:rsidP="00EC1DA7">
      <w:pPr>
        <w:pStyle w:val="ListParagraph"/>
        <w:numPr>
          <w:ilvl w:val="0"/>
          <w:numId w:val="1"/>
        </w:numPr>
      </w:pPr>
      <w:r>
        <w:t xml:space="preserve">put in place an open and transparent complaint handling </w:t>
      </w:r>
      <w:proofErr w:type="gramStart"/>
      <w:r>
        <w:t>system</w:t>
      </w:r>
      <w:proofErr w:type="gramEnd"/>
    </w:p>
    <w:p w14:paraId="61D807C5" w14:textId="77777777" w:rsidR="00B64614" w:rsidRDefault="00B64614" w:rsidP="00EC1DA7">
      <w:pPr>
        <w:pStyle w:val="ListParagraph"/>
        <w:numPr>
          <w:ilvl w:val="0"/>
          <w:numId w:val="1"/>
        </w:numPr>
      </w:pPr>
      <w:r>
        <w:t xml:space="preserve">establish our timeframes for resolving </w:t>
      </w:r>
      <w:proofErr w:type="gramStart"/>
      <w:r>
        <w:t>complaints</w:t>
      </w:r>
      <w:proofErr w:type="gramEnd"/>
    </w:p>
    <w:p w14:paraId="414CCF44" w14:textId="4CE9FA86" w:rsidR="00A50D79" w:rsidRDefault="00A50D79" w:rsidP="00EC1DA7">
      <w:pPr>
        <w:pStyle w:val="ListParagraph"/>
        <w:numPr>
          <w:ilvl w:val="0"/>
          <w:numId w:val="1"/>
        </w:numPr>
      </w:pPr>
      <w:r>
        <w:t xml:space="preserve">set out the processes we will use to </w:t>
      </w:r>
      <w:r w:rsidR="00CA5D94">
        <w:t xml:space="preserve">resolve </w:t>
      </w:r>
      <w:proofErr w:type="gramStart"/>
      <w:r w:rsidR="00CA5D94">
        <w:t>complaints</w:t>
      </w:r>
      <w:proofErr w:type="gramEnd"/>
    </w:p>
    <w:p w14:paraId="68B32296" w14:textId="77777777" w:rsidR="006E072F" w:rsidRDefault="006E072F" w:rsidP="006E072F">
      <w:pPr>
        <w:pStyle w:val="ListParagraph"/>
        <w:numPr>
          <w:ilvl w:val="0"/>
          <w:numId w:val="1"/>
        </w:numPr>
      </w:pPr>
      <w:r>
        <w:t xml:space="preserve">specify the key performance indicators to which we will hold ourselves </w:t>
      </w:r>
      <w:proofErr w:type="gramStart"/>
      <w:r>
        <w:t>accountable</w:t>
      </w:r>
      <w:proofErr w:type="gramEnd"/>
    </w:p>
    <w:p w14:paraId="4FAAC3B0" w14:textId="590162BE" w:rsidR="00B64614" w:rsidRDefault="00B64614" w:rsidP="00EC1DA7">
      <w:pPr>
        <w:pStyle w:val="ListParagraph"/>
        <w:numPr>
          <w:ilvl w:val="0"/>
          <w:numId w:val="1"/>
        </w:numPr>
      </w:pPr>
      <w:r>
        <w:t xml:space="preserve">ensure complaints </w:t>
      </w:r>
      <w:r w:rsidR="00BD7C76">
        <w:t xml:space="preserve">are handled </w:t>
      </w:r>
      <w:r>
        <w:t>fairly and objectively</w:t>
      </w:r>
      <w:r w:rsidR="00484B9C">
        <w:t>.</w:t>
      </w:r>
    </w:p>
    <w:p w14:paraId="7544947E" w14:textId="4C3E0028" w:rsidR="00A829F0" w:rsidRPr="002F6CE6" w:rsidRDefault="00A829F0" w:rsidP="00DF10D1">
      <w:pPr>
        <w:pStyle w:val="Heading2"/>
      </w:pPr>
      <w:bookmarkStart w:id="2" w:name="_Toc140678881"/>
      <w:r w:rsidRPr="002F6CE6">
        <w:lastRenderedPageBreak/>
        <w:t>Scope</w:t>
      </w:r>
      <w:bookmarkEnd w:id="2"/>
    </w:p>
    <w:p w14:paraId="4F243231" w14:textId="04378812" w:rsidR="00A829F0" w:rsidRDefault="00A829F0" w:rsidP="00A829F0">
      <w:r>
        <w:t xml:space="preserve">The </w:t>
      </w:r>
      <w:r w:rsidR="6DB9103A">
        <w:t xml:space="preserve">Office </w:t>
      </w:r>
      <w:r w:rsidR="410DC9C3">
        <w:t>consider</w:t>
      </w:r>
      <w:r w:rsidR="377D5A02">
        <w:t>s</w:t>
      </w:r>
      <w:r w:rsidR="410DC9C3">
        <w:t xml:space="preserve"> </w:t>
      </w:r>
      <w:r w:rsidR="42A99A24">
        <w:t>and resolve</w:t>
      </w:r>
      <w:r w:rsidR="6A912B1E">
        <w:t>s</w:t>
      </w:r>
      <w:r>
        <w:t xml:space="preserve"> complaints relating to:</w:t>
      </w:r>
    </w:p>
    <w:p w14:paraId="23B5D63F" w14:textId="36AA35CC" w:rsidR="787467AD" w:rsidRDefault="787467AD" w:rsidP="53FC2AE3">
      <w:pPr>
        <w:pStyle w:val="ListParagraph"/>
        <w:numPr>
          <w:ilvl w:val="0"/>
          <w:numId w:val="2"/>
        </w:numPr>
      </w:pPr>
      <w:r>
        <w:t>the services we provide and are responsible for</w:t>
      </w:r>
    </w:p>
    <w:p w14:paraId="4830D7FF" w14:textId="764DA4C4" w:rsidR="00A829F0" w:rsidRPr="002F6CE6" w:rsidRDefault="002F6CE6" w:rsidP="00A829F0">
      <w:pPr>
        <w:pStyle w:val="ListParagraph"/>
        <w:numPr>
          <w:ilvl w:val="0"/>
          <w:numId w:val="2"/>
        </w:numPr>
      </w:pPr>
      <w:r>
        <w:t>t</w:t>
      </w:r>
      <w:r w:rsidR="00A829F0">
        <w:t>he</w:t>
      </w:r>
      <w:r w:rsidR="5E6BA954">
        <w:t xml:space="preserve"> behaviour and </w:t>
      </w:r>
      <w:r w:rsidR="00A829F0">
        <w:t xml:space="preserve">conduct of </w:t>
      </w:r>
      <w:r w:rsidR="1CE13F8B">
        <w:t>our</w:t>
      </w:r>
      <w:r>
        <w:t xml:space="preserve"> staff</w:t>
      </w:r>
      <w:r w:rsidR="00A829F0">
        <w:t xml:space="preserve">, </w:t>
      </w:r>
      <w:proofErr w:type="gramStart"/>
      <w:r w:rsidR="00A829F0">
        <w:t>contractors</w:t>
      </w:r>
      <w:proofErr w:type="gramEnd"/>
      <w:r w:rsidR="00A829F0">
        <w:t xml:space="preserve"> and subcontractors.</w:t>
      </w:r>
    </w:p>
    <w:p w14:paraId="47378AC3" w14:textId="4E63C3B7" w:rsidR="008D3FBA" w:rsidRPr="008D3FBA" w:rsidRDefault="6CBCA644" w:rsidP="008D3FBA">
      <w:r>
        <w:t>Internal m</w:t>
      </w:r>
      <w:r w:rsidR="002A0049">
        <w:t xml:space="preserve">atters </w:t>
      </w:r>
      <w:r w:rsidR="0BC008BD">
        <w:t xml:space="preserve">relating to human resource management and work health safety are </w:t>
      </w:r>
      <w:r w:rsidR="002A0049">
        <w:t xml:space="preserve">not covered by this policy </w:t>
      </w:r>
      <w:r w:rsidR="7FD2D75E">
        <w:t xml:space="preserve">as they are </w:t>
      </w:r>
      <w:r w:rsidR="002A0049">
        <w:t>dealt with through separate processes</w:t>
      </w:r>
      <w:r w:rsidR="3A8448FA">
        <w:t xml:space="preserve">. </w:t>
      </w:r>
    </w:p>
    <w:p w14:paraId="7FF465A0" w14:textId="2508A874" w:rsidR="008D3FBA" w:rsidRPr="008D3FBA" w:rsidRDefault="008D3FBA" w:rsidP="008D3FBA">
      <w:r>
        <w:t xml:space="preserve">The </w:t>
      </w:r>
      <w:r w:rsidR="41A3EB35">
        <w:t>Office</w:t>
      </w:r>
      <w:r w:rsidR="79F0731C">
        <w:t xml:space="preserve"> does </w:t>
      </w:r>
      <w:r w:rsidR="0E4D05E8">
        <w:t xml:space="preserve">not </w:t>
      </w:r>
      <w:r w:rsidR="3AF748A5">
        <w:t>consider</w:t>
      </w:r>
      <w:r w:rsidR="00F7284C">
        <w:t xml:space="preserve"> and </w:t>
      </w:r>
      <w:r w:rsidR="3A39A36E">
        <w:t>resolve</w:t>
      </w:r>
      <w:r>
        <w:t xml:space="preserve"> complaints about other entities</w:t>
      </w:r>
      <w:r w:rsidR="00F04414">
        <w:t xml:space="preserve"> </w:t>
      </w:r>
      <w:r w:rsidR="00BA5E8C">
        <w:t xml:space="preserve">including </w:t>
      </w:r>
      <w:r w:rsidR="00F04414">
        <w:t xml:space="preserve">their actions, </w:t>
      </w:r>
      <w:proofErr w:type="gramStart"/>
      <w:r w:rsidR="00F04414">
        <w:t>decisions</w:t>
      </w:r>
      <w:proofErr w:type="gramEnd"/>
      <w:r w:rsidR="00F04414">
        <w:t xml:space="preserve"> or performance of their functions</w:t>
      </w:r>
      <w:r w:rsidR="00F22077">
        <w:t xml:space="preserve">. </w:t>
      </w:r>
      <w:r w:rsidR="1DBB1C44">
        <w:t>Complaints about the services provided by other government bodies, providers of aged care or other aged care related matters should be directed to the respo</w:t>
      </w:r>
      <w:r w:rsidR="66400FA2">
        <w:t xml:space="preserve">nsible party. </w:t>
      </w:r>
    </w:p>
    <w:p w14:paraId="20B61E15" w14:textId="630197AA" w:rsidR="00A8113E" w:rsidRPr="002F6CE6" w:rsidRDefault="00A8113E" w:rsidP="00DF10D1">
      <w:pPr>
        <w:pStyle w:val="Heading2"/>
      </w:pPr>
      <w:bookmarkStart w:id="3" w:name="_Toc140678882"/>
      <w:r w:rsidRPr="002F6CE6">
        <w:t>Definition</w:t>
      </w:r>
      <w:bookmarkEnd w:id="3"/>
    </w:p>
    <w:p w14:paraId="05ACDA4F" w14:textId="1E831A46" w:rsidR="00A8113E" w:rsidRDefault="00A8113E" w:rsidP="00A8113E">
      <w:r w:rsidRPr="00F017CE">
        <w:t>A complaint is an expression of dissatisfaction about our products</w:t>
      </w:r>
      <w:r w:rsidR="00AA7DD4">
        <w:t>, services</w:t>
      </w:r>
      <w:r w:rsidRPr="00F017CE">
        <w:t xml:space="preserve"> or staff that requires a response or resolution. A complaint can also be about our handling of a complaint.</w:t>
      </w:r>
    </w:p>
    <w:p w14:paraId="2693C23A" w14:textId="4B2E4FEE" w:rsidR="00AD460E" w:rsidRPr="002F6CE6" w:rsidRDefault="00AD460E" w:rsidP="00DF10D1">
      <w:pPr>
        <w:pStyle w:val="Heading2"/>
      </w:pPr>
      <w:bookmarkStart w:id="4" w:name="_Toc140678883"/>
      <w:r w:rsidRPr="002F6CE6">
        <w:t>Who can make a complaint?</w:t>
      </w:r>
      <w:bookmarkEnd w:id="4"/>
    </w:p>
    <w:p w14:paraId="64C001CC" w14:textId="77777777" w:rsidR="00AD460E" w:rsidRDefault="00AD460E" w:rsidP="00AD460E">
      <w:r>
        <w:t xml:space="preserve">Anyone who has been affected by a decision or action (including a failure to </w:t>
      </w:r>
      <w:proofErr w:type="gramStart"/>
      <w:r>
        <w:t>make a decision</w:t>
      </w:r>
      <w:proofErr w:type="gramEnd"/>
      <w:r>
        <w:t xml:space="preserve"> or take action) can make a complaint.</w:t>
      </w:r>
    </w:p>
    <w:p w14:paraId="0A89F396" w14:textId="37346314" w:rsidR="00AD460E" w:rsidRDefault="00AD460E" w:rsidP="00AD460E">
      <w:r>
        <w:t xml:space="preserve">We accept and respond to anonymous complaints, </w:t>
      </w:r>
      <w:r w:rsidR="63820E52">
        <w:t xml:space="preserve">however, if we are unable to contact a complainant for additional </w:t>
      </w:r>
      <w:proofErr w:type="gramStart"/>
      <w:r w:rsidR="63820E52">
        <w:t>information</w:t>
      </w:r>
      <w:proofErr w:type="gramEnd"/>
      <w:r w:rsidR="63820E52">
        <w:t xml:space="preserve"> we may be unable to resolve the complaint. </w:t>
      </w:r>
    </w:p>
    <w:p w14:paraId="6A7C8AD6" w14:textId="1BB520AD" w:rsidR="00B64614" w:rsidRPr="00132E27" w:rsidRDefault="00AD460E" w:rsidP="00132E27">
      <w:pPr>
        <w:pStyle w:val="Heading2"/>
      </w:pPr>
      <w:bookmarkStart w:id="5" w:name="_Toc140678884"/>
      <w:r w:rsidRPr="00132E27">
        <w:t>P</w:t>
      </w:r>
      <w:r w:rsidR="00B64614" w:rsidRPr="00132E27">
        <w:t>rinciples</w:t>
      </w:r>
      <w:bookmarkEnd w:id="5"/>
    </w:p>
    <w:p w14:paraId="46E72D5A" w14:textId="382AF478" w:rsidR="00B64614" w:rsidRDefault="00B64614" w:rsidP="00B64614">
      <w:r>
        <w:t xml:space="preserve">This policy is based on </w:t>
      </w:r>
      <w:r w:rsidR="002A0049">
        <w:t>seven</w:t>
      </w:r>
      <w:r>
        <w:t xml:space="preserve"> principles.</w:t>
      </w:r>
    </w:p>
    <w:p w14:paraId="460F9981" w14:textId="77777777" w:rsidR="00B64614" w:rsidRPr="00132E27" w:rsidRDefault="00B64614" w:rsidP="00132E27">
      <w:pPr>
        <w:pStyle w:val="Heading3"/>
      </w:pPr>
      <w:r w:rsidRPr="00132E27">
        <w:t>Commitment</w:t>
      </w:r>
    </w:p>
    <w:p w14:paraId="5F80BD7B" w14:textId="329DAFA0" w:rsidR="00B64614" w:rsidRDefault="00B64614" w:rsidP="00B64614">
      <w:r>
        <w:t>We are committed to resolving complaints and have a culture that recognises a</w:t>
      </w:r>
      <w:r w:rsidR="0018447B">
        <w:t xml:space="preserve"> person’s</w:t>
      </w:r>
      <w:r>
        <w:t xml:space="preserve"> right to complain. We value complaints and recognise them as being part of our </w:t>
      </w:r>
      <w:r w:rsidR="0018447B">
        <w:t>business</w:t>
      </w:r>
      <w:r>
        <w:t>.</w:t>
      </w:r>
    </w:p>
    <w:p w14:paraId="68F20CCB" w14:textId="77777777" w:rsidR="00B64614" w:rsidRPr="002A0049" w:rsidRDefault="00B64614" w:rsidP="00132E27">
      <w:pPr>
        <w:pStyle w:val="Heading3"/>
      </w:pPr>
      <w:r w:rsidRPr="002A0049">
        <w:t>Accessibility</w:t>
      </w:r>
    </w:p>
    <w:p w14:paraId="28E1C447" w14:textId="77777777" w:rsidR="00B64614" w:rsidRPr="002A0049" w:rsidRDefault="00B64614" w:rsidP="00B64614">
      <w:r w:rsidRPr="002A0049">
        <w:t>People with a range of needs can easily complain and staff actively assist them to navigate the complaints process.</w:t>
      </w:r>
    </w:p>
    <w:p w14:paraId="7833AD48" w14:textId="77777777" w:rsidR="00B64614" w:rsidRPr="002A0049" w:rsidRDefault="00B64614" w:rsidP="00132E27">
      <w:pPr>
        <w:pStyle w:val="Heading3"/>
      </w:pPr>
      <w:r w:rsidRPr="002A0049">
        <w:t>Transparency</w:t>
      </w:r>
    </w:p>
    <w:p w14:paraId="53B1A853" w14:textId="16D4CFE7" w:rsidR="00B64614" w:rsidRDefault="00B64614" w:rsidP="48F03171">
      <w:r>
        <w:t xml:space="preserve">We make it clear how to complain, where to complain and how the complaint will be handled. </w:t>
      </w:r>
      <w:r w:rsidR="50FCDDE9">
        <w:t>We provide explanations and reasons for decisions and ensure that our decisions are subject to appropriate review processes.</w:t>
      </w:r>
    </w:p>
    <w:p w14:paraId="1679A16A" w14:textId="77777777" w:rsidR="00B64614" w:rsidRPr="002A0049" w:rsidRDefault="00B64614" w:rsidP="00132E27">
      <w:pPr>
        <w:pStyle w:val="Heading3"/>
      </w:pPr>
      <w:r w:rsidRPr="002A0049">
        <w:t>Objectivity and fairness</w:t>
      </w:r>
    </w:p>
    <w:p w14:paraId="53321814" w14:textId="77777777" w:rsidR="00B64614" w:rsidRPr="002A0049" w:rsidRDefault="00B64614" w:rsidP="00B64614">
      <w:r w:rsidRPr="002A0049">
        <w:t>Complaints are dealt with courteously, impartially, within established timeframes and are assessed on merit.</w:t>
      </w:r>
    </w:p>
    <w:p w14:paraId="43D2966D" w14:textId="77777777" w:rsidR="00B64614" w:rsidRPr="002A0049" w:rsidRDefault="00B64614" w:rsidP="00132E27">
      <w:pPr>
        <w:pStyle w:val="Heading3"/>
      </w:pPr>
      <w:r w:rsidRPr="002A0049">
        <w:lastRenderedPageBreak/>
        <w:t>Privacy</w:t>
      </w:r>
    </w:p>
    <w:p w14:paraId="00E1A14D" w14:textId="75677382" w:rsidR="00B64614" w:rsidRPr="002A0049" w:rsidRDefault="00B64614" w:rsidP="00B64614">
      <w:r w:rsidRPr="002A0049">
        <w:t xml:space="preserve">Complaint information is handled according to </w:t>
      </w:r>
      <w:r w:rsidR="00F51BB2">
        <w:t xml:space="preserve">the </w:t>
      </w:r>
      <w:r w:rsidR="00F51BB2" w:rsidRPr="008D07D4">
        <w:rPr>
          <w:i/>
          <w:iCs/>
        </w:rPr>
        <w:t>Pr</w:t>
      </w:r>
      <w:r w:rsidRPr="008D07D4">
        <w:rPr>
          <w:i/>
          <w:iCs/>
        </w:rPr>
        <w:t xml:space="preserve">ivacy </w:t>
      </w:r>
      <w:r w:rsidR="00F51BB2" w:rsidRPr="008D07D4">
        <w:rPr>
          <w:i/>
          <w:iCs/>
        </w:rPr>
        <w:t>Act 1988</w:t>
      </w:r>
      <w:r w:rsidR="00837990">
        <w:t xml:space="preserve"> </w:t>
      </w:r>
      <w:r w:rsidR="001E0114">
        <w:t xml:space="preserve">(Cth) </w:t>
      </w:r>
      <w:r w:rsidR="00837990">
        <w:t xml:space="preserve">and the </w:t>
      </w:r>
      <w:r w:rsidR="002F204C">
        <w:t>requirements set out in the Australian Privacy Principles</w:t>
      </w:r>
      <w:r w:rsidRPr="002A0049">
        <w:t xml:space="preserve">. </w:t>
      </w:r>
      <w:r w:rsidR="0309AC75">
        <w:t>I</w:t>
      </w:r>
      <w:r w:rsidR="47D2D3AA">
        <w:t>nformation</w:t>
      </w:r>
      <w:r w:rsidRPr="002A0049">
        <w:t xml:space="preserve"> about </w:t>
      </w:r>
      <w:r w:rsidR="3E922F11">
        <w:t>our</w:t>
      </w:r>
      <w:r w:rsidRPr="002A0049">
        <w:t xml:space="preserve"> personal information</w:t>
      </w:r>
      <w:r w:rsidR="520C8C78">
        <w:t xml:space="preserve"> </w:t>
      </w:r>
      <w:r w:rsidR="2A9DBDDD">
        <w:t>handling practices</w:t>
      </w:r>
      <w:r w:rsidR="008022EF">
        <w:t xml:space="preserve"> (including in relation to complaint information)</w:t>
      </w:r>
      <w:r w:rsidR="520C8C78">
        <w:t xml:space="preserve"> is outlined in the Inspector-General of Aged Care’s Privacy Policy (Privacy Policy)</w:t>
      </w:r>
      <w:r w:rsidR="47D2D3AA">
        <w:t>.</w:t>
      </w:r>
      <w:r w:rsidRPr="002A0049">
        <w:t xml:space="preserve"> </w:t>
      </w:r>
      <w:r w:rsidR="00F51BB2">
        <w:t xml:space="preserve">The Privacy Policy must be adhered to when referring complaints to an external agency, organisation or third party. </w:t>
      </w:r>
      <w:r w:rsidRPr="002A0049">
        <w:t>Complaint data is de-identified if reported on more widely.</w:t>
      </w:r>
      <w:r w:rsidR="00F51BB2">
        <w:t xml:space="preserve"> Records relating to actions taken under the policy are subject to the </w:t>
      </w:r>
      <w:r w:rsidR="00F51BB2" w:rsidRPr="008D07D4">
        <w:rPr>
          <w:i/>
          <w:iCs/>
        </w:rPr>
        <w:t>Freedom of Information Act 1982</w:t>
      </w:r>
      <w:r w:rsidR="00F51BB2">
        <w:t>.</w:t>
      </w:r>
    </w:p>
    <w:p w14:paraId="6AF5C84F" w14:textId="77777777" w:rsidR="00B64614" w:rsidRPr="002A0049" w:rsidRDefault="00B64614" w:rsidP="00132E27">
      <w:pPr>
        <w:pStyle w:val="Heading3"/>
      </w:pPr>
      <w:r w:rsidRPr="002A0049">
        <w:t>Accountability</w:t>
      </w:r>
    </w:p>
    <w:p w14:paraId="02773843" w14:textId="5D8BB9D6" w:rsidR="00B64614" w:rsidRPr="00EC1DA7" w:rsidRDefault="00B64614" w:rsidP="48F03171">
      <w:pPr>
        <w:rPr>
          <w:b/>
          <w:bCs/>
        </w:rPr>
      </w:pPr>
      <w:r>
        <w:t xml:space="preserve">We are accountable internally and externally for our decision making and complaint handling performance. </w:t>
      </w:r>
    </w:p>
    <w:p w14:paraId="471A698E" w14:textId="35055A6C" w:rsidR="00B64614" w:rsidRPr="00EC1DA7" w:rsidRDefault="00B64614" w:rsidP="00132E27">
      <w:pPr>
        <w:pStyle w:val="Heading3"/>
      </w:pPr>
      <w:r w:rsidRPr="48F03171">
        <w:t>Continuous improvement</w:t>
      </w:r>
    </w:p>
    <w:p w14:paraId="5B503963" w14:textId="77777777" w:rsidR="00B64614" w:rsidRDefault="00B64614" w:rsidP="00B64614">
      <w:r>
        <w:t xml:space="preserve">Acting on, learning </w:t>
      </w:r>
      <w:proofErr w:type="gramStart"/>
      <w:r>
        <w:t>from</w:t>
      </w:r>
      <w:proofErr w:type="gramEnd"/>
      <w:r>
        <w:t xml:space="preserve"> and using complaint data helps us identify problems and improve services.</w:t>
      </w:r>
    </w:p>
    <w:p w14:paraId="1B99D5BC" w14:textId="77777777" w:rsidR="00B64614" w:rsidRPr="002F6CE6" w:rsidRDefault="00B64614" w:rsidP="00DF10D1">
      <w:pPr>
        <w:pStyle w:val="Heading2"/>
      </w:pPr>
      <w:bookmarkStart w:id="6" w:name="_Toc140678885"/>
      <w:r w:rsidRPr="002F6CE6">
        <w:t>How to make a complaint</w:t>
      </w:r>
      <w:bookmarkEnd w:id="6"/>
    </w:p>
    <w:p w14:paraId="77A95274" w14:textId="047E6603" w:rsidR="00B64614" w:rsidRDefault="7D431F2A" w:rsidP="00B64614">
      <w:r>
        <w:t xml:space="preserve">Complaints must be received in writing. </w:t>
      </w:r>
      <w:r w:rsidR="00B64614">
        <w:t xml:space="preserve">A person can </w:t>
      </w:r>
      <w:r w:rsidR="5EC3E2CE">
        <w:t>submit</w:t>
      </w:r>
      <w:r w:rsidR="00B64614">
        <w:t xml:space="preserve"> a </w:t>
      </w:r>
      <w:r w:rsidR="63F0D6FC">
        <w:t xml:space="preserve">written </w:t>
      </w:r>
      <w:r w:rsidR="00B64614">
        <w:t xml:space="preserve">complaint </w:t>
      </w:r>
      <w:r w:rsidR="0813A4CE">
        <w:t>through</w:t>
      </w:r>
      <w:r w:rsidR="630C154A">
        <w:t>:</w:t>
      </w:r>
    </w:p>
    <w:p w14:paraId="324CEEC9" w14:textId="2535E812" w:rsidR="002A0049" w:rsidRDefault="002A0049" w:rsidP="53FC2AE3">
      <w:pPr>
        <w:pStyle w:val="ListParagraph"/>
        <w:numPr>
          <w:ilvl w:val="0"/>
          <w:numId w:val="14"/>
        </w:numPr>
      </w:pPr>
      <w:r>
        <w:t>Email:</w:t>
      </w:r>
      <w:r w:rsidR="00C2742C">
        <w:t xml:space="preserve"> </w:t>
      </w:r>
      <w:r w:rsidR="00484B9C">
        <w:tab/>
      </w:r>
      <w:r w:rsidR="6AE08331">
        <w:t>complaints</w:t>
      </w:r>
      <w:r w:rsidR="00363B0C">
        <w:t>@igac.gov.au</w:t>
      </w:r>
    </w:p>
    <w:p w14:paraId="17A88542" w14:textId="77777777" w:rsidR="002A0049" w:rsidRDefault="00B64614" w:rsidP="53FC2AE3">
      <w:pPr>
        <w:pStyle w:val="ListParagraph"/>
        <w:numPr>
          <w:ilvl w:val="0"/>
          <w:numId w:val="14"/>
        </w:numPr>
        <w:spacing w:after="0"/>
      </w:pPr>
      <w:r>
        <w:t>Mail:</w:t>
      </w:r>
      <w:r>
        <w:tab/>
      </w:r>
      <w:r w:rsidR="002A0049">
        <w:t>Inspector-General of Aged Care</w:t>
      </w:r>
    </w:p>
    <w:p w14:paraId="571419B1" w14:textId="50FBE43B" w:rsidR="002A0049" w:rsidRDefault="002A0049" w:rsidP="53FC2AE3">
      <w:pPr>
        <w:spacing w:after="0"/>
        <w:ind w:left="720" w:firstLine="720"/>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PO Box </w:t>
      </w:r>
      <w:r w:rsidR="6BE6F5E5" w:rsidRPr="3070F09C">
        <w:rPr>
          <w:rStyle w:val="normaltextrun"/>
          <w:rFonts w:ascii="Calibri" w:hAnsi="Calibri" w:cs="Calibri"/>
          <w:color w:val="000000"/>
          <w:shd w:val="clear" w:color="auto" w:fill="FFFFFF"/>
        </w:rPr>
        <w:t>350</w:t>
      </w:r>
    </w:p>
    <w:p w14:paraId="192E34AF" w14:textId="28E60703" w:rsidR="00B64614" w:rsidRDefault="003E6686" w:rsidP="53FC2AE3">
      <w:pPr>
        <w:ind w:left="720" w:firstLine="720"/>
      </w:pPr>
      <w:r w:rsidRPr="3070F09C">
        <w:rPr>
          <w:rStyle w:val="normaltextrun"/>
          <w:rFonts w:ascii="Calibri" w:hAnsi="Calibri" w:cs="Calibri"/>
          <w:color w:val="000000"/>
          <w:shd w:val="clear" w:color="auto" w:fill="FFFFFF"/>
        </w:rPr>
        <w:t>WODEN</w:t>
      </w:r>
      <w:r>
        <w:rPr>
          <w:rStyle w:val="normaltextrun"/>
          <w:rFonts w:ascii="Calibri" w:hAnsi="Calibri" w:cs="Calibri"/>
          <w:color w:val="000000"/>
          <w:shd w:val="clear" w:color="auto" w:fill="FFFFFF"/>
        </w:rPr>
        <w:t xml:space="preserve"> </w:t>
      </w:r>
      <w:r w:rsidR="002A0049">
        <w:rPr>
          <w:rStyle w:val="normaltextrun"/>
          <w:rFonts w:ascii="Calibri" w:hAnsi="Calibri" w:cs="Calibri"/>
          <w:color w:val="000000"/>
          <w:shd w:val="clear" w:color="auto" w:fill="FFFFFF"/>
        </w:rPr>
        <w:t>ACT 2</w:t>
      </w:r>
      <w:r w:rsidR="7271F2CA">
        <w:rPr>
          <w:rStyle w:val="normaltextrun"/>
          <w:rFonts w:ascii="Calibri" w:hAnsi="Calibri" w:cs="Calibri"/>
          <w:color w:val="000000"/>
          <w:shd w:val="clear" w:color="auto" w:fill="FFFFFF"/>
        </w:rPr>
        <w:t>606</w:t>
      </w:r>
      <w:r w:rsidR="002A0049">
        <w:t xml:space="preserve"> </w:t>
      </w:r>
    </w:p>
    <w:p w14:paraId="308243E8" w14:textId="1208D3B1" w:rsidR="00B64614" w:rsidRPr="002F6CE6" w:rsidRDefault="00B64614" w:rsidP="00DF10D1">
      <w:pPr>
        <w:pStyle w:val="Heading2"/>
      </w:pPr>
      <w:bookmarkStart w:id="7" w:name="_Toc140678886"/>
      <w:r w:rsidRPr="002F6CE6">
        <w:t>Complaint</w:t>
      </w:r>
      <w:r w:rsidR="00AD460E" w:rsidRPr="002F6CE6">
        <w:t>s</w:t>
      </w:r>
      <w:r w:rsidRPr="002F6CE6">
        <w:t xml:space="preserve"> handling </w:t>
      </w:r>
      <w:proofErr w:type="gramStart"/>
      <w:r w:rsidR="00AD460E" w:rsidRPr="002F6CE6">
        <w:t>process</w:t>
      </w:r>
      <w:bookmarkEnd w:id="7"/>
      <w:proofErr w:type="gramEnd"/>
    </w:p>
    <w:p w14:paraId="1073E204" w14:textId="6E070128" w:rsidR="00B64614" w:rsidRPr="00F97DEA" w:rsidRDefault="00B64614" w:rsidP="00132E27">
      <w:pPr>
        <w:pStyle w:val="Heading3"/>
      </w:pPr>
      <w:r w:rsidRPr="00F97DEA">
        <w:t>Overview</w:t>
      </w:r>
    </w:p>
    <w:p w14:paraId="48B278E9" w14:textId="77777777" w:rsidR="00B64614" w:rsidRDefault="00B64614" w:rsidP="00B64614">
      <w:r>
        <w:t>We take a four-tiered approach to complaint handling, as follows:</w:t>
      </w:r>
    </w:p>
    <w:p w14:paraId="737A597F" w14:textId="37519AED" w:rsidR="00B64614" w:rsidRDefault="00B64614" w:rsidP="00F97DEA">
      <w:pPr>
        <w:pStyle w:val="ListParagraph"/>
        <w:numPr>
          <w:ilvl w:val="0"/>
          <w:numId w:val="4"/>
        </w:numPr>
      </w:pPr>
      <w:r>
        <w:t>Frontline resolution: frontline staff receive the complaint, assess it, and resolve it immediately, if possible</w:t>
      </w:r>
      <w:r w:rsidR="7832181A">
        <w:t>.</w:t>
      </w:r>
    </w:p>
    <w:p w14:paraId="37C85EEA" w14:textId="660D8D0A" w:rsidR="00B64614" w:rsidRDefault="00B64614" w:rsidP="00F97DEA">
      <w:pPr>
        <w:pStyle w:val="ListParagraph"/>
        <w:numPr>
          <w:ilvl w:val="0"/>
          <w:numId w:val="4"/>
        </w:numPr>
      </w:pPr>
      <w:r>
        <w:t xml:space="preserve">Investigation: if frontline staff </w:t>
      </w:r>
      <w:r w:rsidR="1D645DFA">
        <w:t>are not able to</w:t>
      </w:r>
      <w:r>
        <w:t xml:space="preserve"> resolve the complaint, </w:t>
      </w:r>
      <w:r w:rsidR="27CE9333">
        <w:t>it</w:t>
      </w:r>
      <w:r>
        <w:t xml:space="preserve"> will </w:t>
      </w:r>
      <w:r w:rsidR="00EF69BD">
        <w:t>b</w:t>
      </w:r>
      <w:r w:rsidR="27CE9333">
        <w:t xml:space="preserve">e </w:t>
      </w:r>
      <w:r>
        <w:t>refer</w:t>
      </w:r>
      <w:r w:rsidR="11DA265B">
        <w:t>red</w:t>
      </w:r>
      <w:r>
        <w:t xml:space="preserve"> to an officer for investigation</w:t>
      </w:r>
      <w:r w:rsidR="7832181A">
        <w:t>.</w:t>
      </w:r>
    </w:p>
    <w:p w14:paraId="1CEE18A4" w14:textId="69A1DD2A" w:rsidR="00B64614" w:rsidRDefault="00B64614" w:rsidP="00F97DEA">
      <w:pPr>
        <w:pStyle w:val="ListParagraph"/>
        <w:numPr>
          <w:ilvl w:val="0"/>
          <w:numId w:val="4"/>
        </w:numPr>
      </w:pPr>
      <w:r>
        <w:t>Internal review: if the complainant is aggrieved with the process or outcome of the frontline resolution/investigation, they can request an internal review</w:t>
      </w:r>
      <w:r w:rsidR="72D488FD">
        <w:t>.</w:t>
      </w:r>
    </w:p>
    <w:p w14:paraId="7534190D" w14:textId="4CF967CD" w:rsidR="00B64614" w:rsidRDefault="00B64614" w:rsidP="00F97DEA">
      <w:pPr>
        <w:pStyle w:val="ListParagraph"/>
        <w:numPr>
          <w:ilvl w:val="0"/>
          <w:numId w:val="4"/>
        </w:numPr>
      </w:pPr>
      <w:r>
        <w:t>Access to external review: if the complainant is aggrieved with the process or outcome of the internal review, we inform them of any available external review options.</w:t>
      </w:r>
    </w:p>
    <w:p w14:paraId="6AB200E1" w14:textId="77777777" w:rsidR="00B64614" w:rsidRPr="00F97DEA" w:rsidRDefault="00B64614" w:rsidP="00132E27">
      <w:pPr>
        <w:pStyle w:val="Heading3"/>
      </w:pPr>
      <w:r w:rsidRPr="00F97DEA">
        <w:t>Procedures</w:t>
      </w:r>
    </w:p>
    <w:p w14:paraId="5E70820F" w14:textId="58089A40" w:rsidR="00B64614" w:rsidRDefault="00B64614" w:rsidP="00B64614">
      <w:pPr>
        <w:rPr>
          <w:u w:val="single"/>
        </w:rPr>
      </w:pPr>
      <w:r w:rsidRPr="53FC2AE3">
        <w:rPr>
          <w:u w:val="single"/>
        </w:rPr>
        <w:t>Frontline resolution</w:t>
      </w:r>
      <w:r w:rsidR="00F97DEA" w:rsidRPr="53FC2AE3">
        <w:rPr>
          <w:u w:val="single"/>
        </w:rPr>
        <w:t>:</w:t>
      </w:r>
    </w:p>
    <w:p w14:paraId="1D3A5DB5" w14:textId="50AEFFBE" w:rsidR="00B64614" w:rsidRDefault="00B64614" w:rsidP="00B64614">
      <w:r>
        <w:t xml:space="preserve">We will acknowledge all complaints within </w:t>
      </w:r>
      <w:r w:rsidR="0057692F">
        <w:t>5</w:t>
      </w:r>
      <w:r w:rsidR="124584FD">
        <w:t xml:space="preserve"> working</w:t>
      </w:r>
      <w:r>
        <w:t xml:space="preserve"> days of receipt.</w:t>
      </w:r>
    </w:p>
    <w:p w14:paraId="63299D94" w14:textId="77777777" w:rsidR="00B64614" w:rsidRDefault="00B64614" w:rsidP="00F97DEA">
      <w:pPr>
        <w:pStyle w:val="ListParagraph"/>
        <w:numPr>
          <w:ilvl w:val="0"/>
          <w:numId w:val="5"/>
        </w:numPr>
      </w:pPr>
      <w:r>
        <w:t>Frontline staff will receive the complaint.</w:t>
      </w:r>
    </w:p>
    <w:p w14:paraId="4E8F12C7" w14:textId="77777777" w:rsidR="00B64614" w:rsidRDefault="00B64614" w:rsidP="00F97DEA">
      <w:pPr>
        <w:pStyle w:val="ListParagraph"/>
        <w:numPr>
          <w:ilvl w:val="0"/>
          <w:numId w:val="5"/>
        </w:numPr>
      </w:pPr>
      <w:r>
        <w:t>Frontline staff will clarify the complaint and the outcome the complainant is seeking.</w:t>
      </w:r>
    </w:p>
    <w:p w14:paraId="61D0383A" w14:textId="06990901" w:rsidR="00B64614" w:rsidRDefault="00B64614" w:rsidP="00F97DEA">
      <w:pPr>
        <w:pStyle w:val="ListParagraph"/>
        <w:numPr>
          <w:ilvl w:val="0"/>
          <w:numId w:val="5"/>
        </w:numPr>
      </w:pPr>
      <w:r>
        <w:t xml:space="preserve">Frontline staff will assess the complaint to determine how it should be dealt with. </w:t>
      </w:r>
    </w:p>
    <w:p w14:paraId="0C0A0468" w14:textId="2ADC77E5" w:rsidR="00B64614" w:rsidRDefault="00B64614" w:rsidP="00F97DEA">
      <w:pPr>
        <w:pStyle w:val="ListParagraph"/>
        <w:numPr>
          <w:ilvl w:val="0"/>
          <w:numId w:val="5"/>
        </w:numPr>
      </w:pPr>
      <w:r>
        <w:lastRenderedPageBreak/>
        <w:t xml:space="preserve">If the </w:t>
      </w:r>
      <w:r w:rsidR="30D124F7">
        <w:t xml:space="preserve">Office of the </w:t>
      </w:r>
      <w:r w:rsidR="00F97DEA">
        <w:t xml:space="preserve">Inspector-General </w:t>
      </w:r>
      <w:r w:rsidR="729FB24B">
        <w:t xml:space="preserve">of Aged Care </w:t>
      </w:r>
      <w:r>
        <w:t xml:space="preserve">is not the </w:t>
      </w:r>
      <w:r w:rsidR="1EA5C60F">
        <w:t>appropriate</w:t>
      </w:r>
      <w:r>
        <w:t xml:space="preserve"> organisation to respond to </w:t>
      </w:r>
      <w:r w:rsidR="72705FDA">
        <w:t>a</w:t>
      </w:r>
      <w:r>
        <w:t xml:space="preserve"> complaint, staff will a</w:t>
      </w:r>
      <w:r w:rsidR="0CCC6356">
        <w:t>ssist</w:t>
      </w:r>
      <w:r>
        <w:t xml:space="preserve"> the complainant </w:t>
      </w:r>
      <w:r w:rsidR="3D33727E">
        <w:t xml:space="preserve">to identify the </w:t>
      </w:r>
      <w:r>
        <w:t xml:space="preserve">organisation </w:t>
      </w:r>
      <w:r w:rsidR="0A41334E">
        <w:t>best placed to assist them with their concerns</w:t>
      </w:r>
      <w:r>
        <w:t>.</w:t>
      </w:r>
    </w:p>
    <w:p w14:paraId="7757BC81" w14:textId="3AC5AB97" w:rsidR="00B64614" w:rsidRDefault="00B64614" w:rsidP="00B64614">
      <w:pPr>
        <w:rPr>
          <w:u w:val="single"/>
        </w:rPr>
      </w:pPr>
      <w:r w:rsidRPr="53FC2AE3">
        <w:rPr>
          <w:u w:val="single"/>
        </w:rPr>
        <w:t>Investigation</w:t>
      </w:r>
      <w:r w:rsidR="00663850" w:rsidRPr="53FC2AE3">
        <w:rPr>
          <w:u w:val="single"/>
        </w:rPr>
        <w:t>:</w:t>
      </w:r>
    </w:p>
    <w:p w14:paraId="7BE79FF0" w14:textId="77777777" w:rsidR="00B64614" w:rsidRDefault="00B64614" w:rsidP="00663850">
      <w:pPr>
        <w:pStyle w:val="ListParagraph"/>
        <w:numPr>
          <w:ilvl w:val="0"/>
          <w:numId w:val="6"/>
        </w:numPr>
      </w:pPr>
      <w:r>
        <w:t>If frontline staff cannot resolve the complaint, it will be assigned to an officer for investigation.</w:t>
      </w:r>
    </w:p>
    <w:p w14:paraId="7FEFBCC9" w14:textId="77777777" w:rsidR="00B64614" w:rsidRDefault="00B64614" w:rsidP="00663850">
      <w:pPr>
        <w:pStyle w:val="ListParagraph"/>
        <w:numPr>
          <w:ilvl w:val="0"/>
          <w:numId w:val="6"/>
        </w:numPr>
      </w:pPr>
      <w:r>
        <w:t>The officer handling the complaint will advise the complainant who the contact person is and how long it will take to respond to the complaint.</w:t>
      </w:r>
    </w:p>
    <w:p w14:paraId="2B2A5BF0" w14:textId="77777777" w:rsidR="00B64614" w:rsidRDefault="00B64614" w:rsidP="00663850">
      <w:pPr>
        <w:pStyle w:val="ListParagraph"/>
        <w:numPr>
          <w:ilvl w:val="0"/>
          <w:numId w:val="6"/>
        </w:numPr>
      </w:pPr>
      <w:r>
        <w:t>Complaint handling staff will aim to resolve all complaints within 28 days.</w:t>
      </w:r>
    </w:p>
    <w:p w14:paraId="1315D5D7" w14:textId="77777777" w:rsidR="00B64614" w:rsidRDefault="00B64614" w:rsidP="00663850">
      <w:pPr>
        <w:pStyle w:val="ListParagraph"/>
        <w:numPr>
          <w:ilvl w:val="0"/>
          <w:numId w:val="6"/>
        </w:numPr>
      </w:pPr>
      <w:r>
        <w:t>If it takes longer than 28 days to resolve a complaint, the contact person will contact the complainant prior to or at this time and explain why.</w:t>
      </w:r>
    </w:p>
    <w:p w14:paraId="2B375C3E" w14:textId="74876C72" w:rsidR="00B64614" w:rsidRDefault="00B64614" w:rsidP="00663850">
      <w:pPr>
        <w:pStyle w:val="ListParagraph"/>
        <w:numPr>
          <w:ilvl w:val="0"/>
          <w:numId w:val="6"/>
        </w:numPr>
      </w:pPr>
      <w:r>
        <w:t>The officer responsible for handling the complaint will write to the complainant to advise them of the outcome. The outcome letter will contain reasons for the decision made and the contact information for the responsible officer.</w:t>
      </w:r>
    </w:p>
    <w:p w14:paraId="05DA782A" w14:textId="77777777" w:rsidR="00B64614" w:rsidRDefault="00B64614" w:rsidP="00663850">
      <w:pPr>
        <w:pStyle w:val="ListParagraph"/>
        <w:numPr>
          <w:ilvl w:val="0"/>
          <w:numId w:val="6"/>
        </w:numPr>
      </w:pPr>
      <w:r>
        <w:t>The officer handling the complaint may contact the complainant to discuss the outcome of their complaint prior to sending the outcome letter.</w:t>
      </w:r>
    </w:p>
    <w:p w14:paraId="29409B3B" w14:textId="4C54993F" w:rsidR="00B64614" w:rsidRDefault="00B64614" w:rsidP="00B64614">
      <w:pPr>
        <w:rPr>
          <w:u w:val="single"/>
        </w:rPr>
      </w:pPr>
      <w:r w:rsidRPr="53FC2AE3">
        <w:rPr>
          <w:u w:val="single"/>
        </w:rPr>
        <w:t>Internal review</w:t>
      </w:r>
      <w:r w:rsidR="00663850" w:rsidRPr="53FC2AE3">
        <w:rPr>
          <w:u w:val="single"/>
        </w:rPr>
        <w:t>:</w:t>
      </w:r>
    </w:p>
    <w:p w14:paraId="149296F9" w14:textId="1E774606" w:rsidR="00B64614" w:rsidRDefault="00D677E1" w:rsidP="00D212B7">
      <w:pPr>
        <w:pStyle w:val="ListParagraph"/>
        <w:numPr>
          <w:ilvl w:val="0"/>
          <w:numId w:val="7"/>
        </w:numPr>
      </w:pPr>
      <w:r>
        <w:t xml:space="preserve">If the complainant is aggrieved with the </w:t>
      </w:r>
      <w:r w:rsidR="5DAE24C8">
        <w:t>management</w:t>
      </w:r>
      <w:r>
        <w:t xml:space="preserve"> or outcome of the</w:t>
      </w:r>
      <w:r w:rsidR="3E94C19C">
        <w:t>ir complaint</w:t>
      </w:r>
      <w:r>
        <w:t xml:space="preserve">, they can request an internal review. </w:t>
      </w:r>
    </w:p>
    <w:p w14:paraId="5D0A7DD2" w14:textId="2DB90AAD" w:rsidR="2BA0AB49" w:rsidRDefault="2BA0AB49" w:rsidP="48F03171">
      <w:pPr>
        <w:pStyle w:val="ListParagraph"/>
        <w:numPr>
          <w:ilvl w:val="0"/>
          <w:numId w:val="7"/>
        </w:numPr>
      </w:pPr>
      <w:r>
        <w:t>A request for internal review must be made no later than 28 days following notice of the outcome of the complaint being given.</w:t>
      </w:r>
    </w:p>
    <w:p w14:paraId="429C87B5" w14:textId="1AC2D61B" w:rsidR="00B64614" w:rsidRDefault="401E4B4E" w:rsidP="00D212B7">
      <w:pPr>
        <w:pStyle w:val="ListParagraph"/>
        <w:numPr>
          <w:ilvl w:val="0"/>
          <w:numId w:val="7"/>
        </w:numPr>
      </w:pPr>
      <w:r>
        <w:t xml:space="preserve">When seeking an internal review, the complainant must clearly state what they would like reviewed and why they disagree with the response/decision provided. </w:t>
      </w:r>
    </w:p>
    <w:p w14:paraId="2E8FF436" w14:textId="482505CC" w:rsidR="00B64614" w:rsidRDefault="00D677E1" w:rsidP="00D212B7">
      <w:pPr>
        <w:pStyle w:val="ListParagraph"/>
        <w:numPr>
          <w:ilvl w:val="0"/>
          <w:numId w:val="7"/>
        </w:numPr>
      </w:pPr>
      <w:r>
        <w:t xml:space="preserve">An </w:t>
      </w:r>
      <w:r w:rsidR="00B64614">
        <w:t>internal review</w:t>
      </w:r>
      <w:r>
        <w:t xml:space="preserve"> will be completed by</w:t>
      </w:r>
      <w:r w:rsidR="00B64614">
        <w:t xml:space="preserve"> a staff member </w:t>
      </w:r>
      <w:r w:rsidR="0C02A927">
        <w:t xml:space="preserve">who was </w:t>
      </w:r>
      <w:r w:rsidR="00B64614">
        <w:t>not involved in the original decision</w:t>
      </w:r>
      <w:r>
        <w:t>.</w:t>
      </w:r>
    </w:p>
    <w:p w14:paraId="36C646AD" w14:textId="58475EA9" w:rsidR="00F32138" w:rsidRDefault="00F32138" w:rsidP="00F32138">
      <w:pPr>
        <w:pStyle w:val="ListParagraph"/>
        <w:numPr>
          <w:ilvl w:val="0"/>
          <w:numId w:val="7"/>
        </w:numPr>
      </w:pPr>
      <w:r>
        <w:t>Internal reviews will aim to be completed within 28 days of receipt.</w:t>
      </w:r>
    </w:p>
    <w:p w14:paraId="24993F84" w14:textId="539F6A7E" w:rsidR="00B64614" w:rsidRDefault="00B64614" w:rsidP="00D212B7">
      <w:pPr>
        <w:pStyle w:val="ListParagraph"/>
        <w:numPr>
          <w:ilvl w:val="0"/>
          <w:numId w:val="7"/>
        </w:numPr>
      </w:pPr>
      <w:r>
        <w:t xml:space="preserve">An outcome letter signed by the officer </w:t>
      </w:r>
      <w:r w:rsidR="005E4AD6">
        <w:t xml:space="preserve">conducting </w:t>
      </w:r>
      <w:r>
        <w:t xml:space="preserve">the internal review will be provided to the complainant at the conclusion of </w:t>
      </w:r>
      <w:r w:rsidR="005E4AD6">
        <w:t xml:space="preserve">an </w:t>
      </w:r>
      <w:r>
        <w:t>internal review.</w:t>
      </w:r>
    </w:p>
    <w:p w14:paraId="2AB3801B" w14:textId="115B9CF8" w:rsidR="00B64614" w:rsidRDefault="00B64614" w:rsidP="00D212B7">
      <w:pPr>
        <w:pStyle w:val="ListParagraph"/>
        <w:numPr>
          <w:ilvl w:val="0"/>
          <w:numId w:val="7"/>
        </w:numPr>
      </w:pPr>
      <w:r>
        <w:t xml:space="preserve">The outcome letter will advise the complainant of any avenues of external review available in relation to the matter, such as the </w:t>
      </w:r>
      <w:r w:rsidR="00F97DEA">
        <w:t>Commonwealth</w:t>
      </w:r>
      <w:r>
        <w:t xml:space="preserve"> Ombudsman.</w:t>
      </w:r>
    </w:p>
    <w:p w14:paraId="29DA6951" w14:textId="043AF16E" w:rsidR="00B64614" w:rsidRPr="00E9459A" w:rsidRDefault="779F2207" w:rsidP="00DF10D1">
      <w:pPr>
        <w:pStyle w:val="Heading2"/>
      </w:pPr>
      <w:bookmarkStart w:id="8" w:name="_Toc140678887"/>
      <w:r w:rsidRPr="4EE34C78">
        <w:t>Record keeping</w:t>
      </w:r>
      <w:bookmarkEnd w:id="8"/>
    </w:p>
    <w:p w14:paraId="47C6C3A2" w14:textId="426E6928" w:rsidR="00B64614" w:rsidRDefault="00B64614" w:rsidP="00B64614">
      <w:r>
        <w:t>All complaints are recorded in our complaint database.</w:t>
      </w:r>
      <w:r w:rsidR="007C066D">
        <w:t xml:space="preserve"> </w:t>
      </w:r>
      <w:r>
        <w:t xml:space="preserve">We analyse our complaint data </w:t>
      </w:r>
      <w:r w:rsidR="00251382">
        <w:t>to impro</w:t>
      </w:r>
      <w:r w:rsidR="00624B58">
        <w:t>ve</w:t>
      </w:r>
      <w:r w:rsidR="007C066D">
        <w:t xml:space="preserve"> our</w:t>
      </w:r>
      <w:r>
        <w:t xml:space="preserve"> services.</w:t>
      </w:r>
    </w:p>
    <w:p w14:paraId="43332565" w14:textId="77777777" w:rsidR="00B64614" w:rsidRDefault="00B64614" w:rsidP="00B64614">
      <w:r>
        <w:t>We record the following information for each complaint:</w:t>
      </w:r>
    </w:p>
    <w:p w14:paraId="3AB43D05" w14:textId="2FA3B563" w:rsidR="00B64614" w:rsidRDefault="00B64614" w:rsidP="009B3079">
      <w:pPr>
        <w:pStyle w:val="ListParagraph"/>
        <w:numPr>
          <w:ilvl w:val="0"/>
          <w:numId w:val="10"/>
        </w:numPr>
      </w:pPr>
      <w:r>
        <w:t>the complainant’s details</w:t>
      </w:r>
      <w:r w:rsidR="39D468BC">
        <w:t xml:space="preserve"> (if known)</w:t>
      </w:r>
    </w:p>
    <w:p w14:paraId="2F95C4FB" w14:textId="77777777" w:rsidR="00B64614" w:rsidRDefault="00B64614" w:rsidP="009B3079">
      <w:pPr>
        <w:pStyle w:val="ListParagraph"/>
        <w:numPr>
          <w:ilvl w:val="0"/>
          <w:numId w:val="10"/>
        </w:numPr>
      </w:pPr>
      <w:r>
        <w:t>how the complaint was received</w:t>
      </w:r>
    </w:p>
    <w:p w14:paraId="1FB294B2" w14:textId="01F29A40" w:rsidR="00B64614" w:rsidRDefault="00B64614" w:rsidP="009B3079">
      <w:pPr>
        <w:pStyle w:val="ListParagraph"/>
        <w:numPr>
          <w:ilvl w:val="0"/>
          <w:numId w:val="10"/>
        </w:numPr>
      </w:pPr>
      <w:r>
        <w:t xml:space="preserve">a </w:t>
      </w:r>
      <w:r w:rsidR="005E4AD6">
        <w:t>summary</w:t>
      </w:r>
      <w:r>
        <w:t xml:space="preserve"> of the complaint</w:t>
      </w:r>
    </w:p>
    <w:p w14:paraId="20FF3D65" w14:textId="77777777" w:rsidR="00B64614" w:rsidRDefault="00B64614" w:rsidP="009B3079">
      <w:pPr>
        <w:pStyle w:val="ListParagraph"/>
        <w:numPr>
          <w:ilvl w:val="0"/>
          <w:numId w:val="10"/>
        </w:numPr>
      </w:pPr>
      <w:r>
        <w:t>the complainant’s desired outcome (if known)</w:t>
      </w:r>
    </w:p>
    <w:p w14:paraId="7AE2FF2A" w14:textId="77777777" w:rsidR="00B64614" w:rsidRDefault="00B64614" w:rsidP="009B3079">
      <w:pPr>
        <w:pStyle w:val="ListParagraph"/>
        <w:numPr>
          <w:ilvl w:val="0"/>
          <w:numId w:val="10"/>
        </w:numPr>
      </w:pPr>
      <w:r>
        <w:t xml:space="preserve">the agency officer responsible for handling the </w:t>
      </w:r>
      <w:proofErr w:type="gramStart"/>
      <w:r>
        <w:t>complaint</w:t>
      </w:r>
      <w:proofErr w:type="gramEnd"/>
    </w:p>
    <w:p w14:paraId="7163E64A" w14:textId="77777777" w:rsidR="00B64614" w:rsidRDefault="00B64614" w:rsidP="009B3079">
      <w:pPr>
        <w:pStyle w:val="ListParagraph"/>
        <w:numPr>
          <w:ilvl w:val="0"/>
          <w:numId w:val="10"/>
        </w:numPr>
      </w:pPr>
      <w:r>
        <w:t xml:space="preserve">any action taken, including contact with the complainant, response times and the </w:t>
      </w:r>
      <w:proofErr w:type="gramStart"/>
      <w:r>
        <w:t>outcome</w:t>
      </w:r>
      <w:proofErr w:type="gramEnd"/>
    </w:p>
    <w:p w14:paraId="2086A4CA" w14:textId="77777777" w:rsidR="00B64614" w:rsidRDefault="00B64614" w:rsidP="009B3079">
      <w:pPr>
        <w:pStyle w:val="ListParagraph"/>
        <w:numPr>
          <w:ilvl w:val="0"/>
          <w:numId w:val="10"/>
        </w:numPr>
      </w:pPr>
      <w:r>
        <w:t>when the complaint was finalised</w:t>
      </w:r>
    </w:p>
    <w:p w14:paraId="27C0A175" w14:textId="77777777" w:rsidR="00B64614" w:rsidRDefault="00B64614" w:rsidP="009B3079">
      <w:pPr>
        <w:pStyle w:val="ListParagraph"/>
        <w:numPr>
          <w:ilvl w:val="0"/>
          <w:numId w:val="10"/>
        </w:numPr>
      </w:pPr>
      <w:r>
        <w:t>any recommendations for improvement, and who is responsible for implementing them.</w:t>
      </w:r>
    </w:p>
    <w:p w14:paraId="560C305B" w14:textId="72C60FC7" w:rsidR="00AA7DD4" w:rsidRPr="00132E27" w:rsidRDefault="00AA7DD4" w:rsidP="00132E27">
      <w:pPr>
        <w:pStyle w:val="Heading2"/>
      </w:pPr>
      <w:bookmarkStart w:id="9" w:name="_Toc140678888"/>
      <w:r w:rsidRPr="00132E27">
        <w:lastRenderedPageBreak/>
        <w:t>Relevant legislation and policies</w:t>
      </w:r>
      <w:bookmarkEnd w:id="9"/>
    </w:p>
    <w:p w14:paraId="2CA7FF8E" w14:textId="77777777" w:rsidR="00AA7DD4" w:rsidRDefault="00AA7DD4" w:rsidP="006F4B3A">
      <w:pPr>
        <w:pStyle w:val="ListParagraph"/>
        <w:numPr>
          <w:ilvl w:val="0"/>
          <w:numId w:val="15"/>
        </w:numPr>
        <w:spacing w:after="120" w:line="240" w:lineRule="auto"/>
      </w:pPr>
      <w:r>
        <w:t>Commonwealth Ombudsman’s Better Practice Guide to Complaint Handling</w:t>
      </w:r>
    </w:p>
    <w:p w14:paraId="4403C506" w14:textId="77777777" w:rsidR="00AA7DD4" w:rsidRDefault="00AA7DD4" w:rsidP="006F4B3A">
      <w:pPr>
        <w:pStyle w:val="ListParagraph"/>
        <w:numPr>
          <w:ilvl w:val="0"/>
          <w:numId w:val="15"/>
        </w:numPr>
        <w:spacing w:after="120" w:line="240" w:lineRule="auto"/>
      </w:pPr>
      <w:r>
        <w:t>Australian Standard AS/NZS 10002-2022 Guidelines for Complaints Handling in Organisations</w:t>
      </w:r>
    </w:p>
    <w:p w14:paraId="5FAA5A3C" w14:textId="77777777" w:rsidR="00AA7DD4" w:rsidRPr="006F4B3A" w:rsidRDefault="00AA7DD4" w:rsidP="006F4B3A">
      <w:pPr>
        <w:pStyle w:val="ListParagraph"/>
        <w:numPr>
          <w:ilvl w:val="0"/>
          <w:numId w:val="15"/>
        </w:numPr>
        <w:spacing w:after="120" w:line="240" w:lineRule="auto"/>
        <w:rPr>
          <w:i/>
          <w:iCs/>
        </w:rPr>
      </w:pPr>
      <w:r w:rsidRPr="006F4B3A">
        <w:rPr>
          <w:i/>
          <w:iCs/>
        </w:rPr>
        <w:t>Inspector-General of Aged Care Act 2023</w:t>
      </w:r>
    </w:p>
    <w:p w14:paraId="37EEBB5A" w14:textId="77777777" w:rsidR="00AA7DD4" w:rsidRDefault="00AA7DD4" w:rsidP="006F4B3A">
      <w:pPr>
        <w:pStyle w:val="ListParagraph"/>
        <w:numPr>
          <w:ilvl w:val="0"/>
          <w:numId w:val="15"/>
        </w:numPr>
        <w:spacing w:after="120" w:line="240" w:lineRule="auto"/>
      </w:pPr>
      <w:r>
        <w:t>APS Values</w:t>
      </w:r>
    </w:p>
    <w:p w14:paraId="5C9641A3" w14:textId="77777777" w:rsidR="00AA7DD4" w:rsidRDefault="00AA7DD4" w:rsidP="006F4B3A">
      <w:pPr>
        <w:pStyle w:val="ListParagraph"/>
        <w:numPr>
          <w:ilvl w:val="0"/>
          <w:numId w:val="15"/>
        </w:numPr>
        <w:spacing w:after="120" w:line="240" w:lineRule="auto"/>
      </w:pPr>
      <w:r>
        <w:t>APS Code of Conduct</w:t>
      </w:r>
    </w:p>
    <w:p w14:paraId="0B60F12B" w14:textId="77777777" w:rsidR="00AA7DD4" w:rsidRDefault="00AA7DD4" w:rsidP="006F4B3A">
      <w:pPr>
        <w:pStyle w:val="ListParagraph"/>
        <w:numPr>
          <w:ilvl w:val="0"/>
          <w:numId w:val="15"/>
        </w:numPr>
        <w:spacing w:after="120" w:line="240" w:lineRule="auto"/>
      </w:pPr>
      <w:r>
        <w:t>Privacy Policy</w:t>
      </w:r>
    </w:p>
    <w:p w14:paraId="2110C821" w14:textId="23A141B5" w:rsidR="00AA7DD4" w:rsidRDefault="00AA7DD4" w:rsidP="006F4B3A">
      <w:pPr>
        <w:pStyle w:val="ListParagraph"/>
        <w:numPr>
          <w:ilvl w:val="0"/>
          <w:numId w:val="15"/>
        </w:numPr>
        <w:spacing w:after="120" w:line="240" w:lineRule="auto"/>
      </w:pPr>
      <w:r>
        <w:t xml:space="preserve">Public interest disclosure </w:t>
      </w:r>
      <w:r w:rsidR="006F4B3A">
        <w:t>procedure</w:t>
      </w:r>
    </w:p>
    <w:p w14:paraId="1BDA54BC" w14:textId="77777777" w:rsidR="00AA7DD4" w:rsidRDefault="00AA7DD4" w:rsidP="006F4B3A">
      <w:pPr>
        <w:pStyle w:val="ListParagraph"/>
        <w:numPr>
          <w:ilvl w:val="0"/>
          <w:numId w:val="15"/>
        </w:numPr>
        <w:spacing w:after="120" w:line="240" w:lineRule="auto"/>
      </w:pPr>
      <w:r>
        <w:t>Conflict of interest policy</w:t>
      </w:r>
    </w:p>
    <w:sectPr w:rsidR="00AA7DD4" w:rsidSect="00964423">
      <w:headerReference w:type="even" r:id="rId10"/>
      <w:headerReference w:type="default" r:id="rId11"/>
      <w:footerReference w:type="even" r:id="rId12"/>
      <w:footerReference w:type="default" r:id="rId13"/>
      <w:headerReference w:type="first" r:id="rId14"/>
      <w:footerReference w:type="first" r:id="rId15"/>
      <w:pgSz w:w="11906" w:h="16838"/>
      <w:pgMar w:top="1701"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F3AEA" w14:textId="77777777" w:rsidR="009E50CC" w:rsidRDefault="009E50CC" w:rsidP="00F51BB2">
      <w:pPr>
        <w:spacing w:after="0" w:line="240" w:lineRule="auto"/>
      </w:pPr>
      <w:r>
        <w:separator/>
      </w:r>
    </w:p>
  </w:endnote>
  <w:endnote w:type="continuationSeparator" w:id="0">
    <w:p w14:paraId="2107365E" w14:textId="77777777" w:rsidR="009E50CC" w:rsidRDefault="009E50CC" w:rsidP="00F51BB2">
      <w:pPr>
        <w:spacing w:after="0" w:line="240" w:lineRule="auto"/>
      </w:pPr>
      <w:r>
        <w:continuationSeparator/>
      </w:r>
    </w:p>
  </w:endnote>
  <w:endnote w:type="continuationNotice" w:id="1">
    <w:p w14:paraId="799C1287" w14:textId="77777777" w:rsidR="009E50CC" w:rsidRDefault="009E50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348BA" w14:textId="77777777" w:rsidR="00D56078" w:rsidRDefault="00D56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614112"/>
      <w:docPartObj>
        <w:docPartGallery w:val="Page Numbers (Bottom of Page)"/>
        <w:docPartUnique/>
      </w:docPartObj>
    </w:sdtPr>
    <w:sdtEndPr/>
    <w:sdtContent>
      <w:sdt>
        <w:sdtPr>
          <w:id w:val="1728636285"/>
          <w:docPartObj>
            <w:docPartGallery w:val="Page Numbers (Top of Page)"/>
            <w:docPartUnique/>
          </w:docPartObj>
        </w:sdtPr>
        <w:sdtEndPr/>
        <w:sdtContent>
          <w:p w14:paraId="3F577D81" w14:textId="09BBEEFF" w:rsidR="00F51BB2" w:rsidRDefault="004F75B8">
            <w:pPr>
              <w:pStyle w:val="Footer"/>
              <w:jc w:val="center"/>
            </w:pPr>
            <w:r>
              <w:rPr>
                <w:noProof/>
              </w:rPr>
              <w:drawing>
                <wp:anchor distT="0" distB="0" distL="114300" distR="114300" simplePos="0" relativeHeight="251667456" behindDoc="1" locked="0" layoutInCell="1" allowOverlap="1" wp14:anchorId="4303A56B" wp14:editId="6CC1EBEE">
                  <wp:simplePos x="0" y="0"/>
                  <wp:positionH relativeFrom="column">
                    <wp:posOffset>-914400</wp:posOffset>
                  </wp:positionH>
                  <wp:positionV relativeFrom="paragraph">
                    <wp:posOffset>-1099185</wp:posOffset>
                  </wp:positionV>
                  <wp:extent cx="7526598" cy="190754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7526598" cy="1907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1BB2">
              <w:t xml:space="preserve">Page </w:t>
            </w:r>
            <w:r w:rsidR="00F51BB2">
              <w:rPr>
                <w:b/>
                <w:bCs/>
                <w:sz w:val="24"/>
                <w:szCs w:val="24"/>
              </w:rPr>
              <w:fldChar w:fldCharType="begin"/>
            </w:r>
            <w:r w:rsidR="00F51BB2">
              <w:rPr>
                <w:b/>
                <w:bCs/>
              </w:rPr>
              <w:instrText xml:space="preserve"> PAGE </w:instrText>
            </w:r>
            <w:r w:rsidR="00F51BB2">
              <w:rPr>
                <w:b/>
                <w:bCs/>
                <w:sz w:val="24"/>
                <w:szCs w:val="24"/>
              </w:rPr>
              <w:fldChar w:fldCharType="separate"/>
            </w:r>
            <w:r w:rsidR="00F51BB2">
              <w:rPr>
                <w:b/>
                <w:bCs/>
                <w:noProof/>
              </w:rPr>
              <w:t>2</w:t>
            </w:r>
            <w:r w:rsidR="00F51BB2">
              <w:rPr>
                <w:b/>
                <w:bCs/>
                <w:sz w:val="24"/>
                <w:szCs w:val="24"/>
              </w:rPr>
              <w:fldChar w:fldCharType="end"/>
            </w:r>
            <w:r w:rsidR="00F51BB2">
              <w:t xml:space="preserve"> of </w:t>
            </w:r>
            <w:r w:rsidR="00F51BB2">
              <w:rPr>
                <w:b/>
                <w:bCs/>
                <w:sz w:val="24"/>
                <w:szCs w:val="24"/>
              </w:rPr>
              <w:fldChar w:fldCharType="begin"/>
            </w:r>
            <w:r w:rsidR="00F51BB2">
              <w:rPr>
                <w:b/>
                <w:bCs/>
              </w:rPr>
              <w:instrText xml:space="preserve"> NUMPAGES  </w:instrText>
            </w:r>
            <w:r w:rsidR="00F51BB2">
              <w:rPr>
                <w:b/>
                <w:bCs/>
                <w:sz w:val="24"/>
                <w:szCs w:val="24"/>
              </w:rPr>
              <w:fldChar w:fldCharType="separate"/>
            </w:r>
            <w:r w:rsidR="00F51BB2">
              <w:rPr>
                <w:b/>
                <w:bCs/>
                <w:noProof/>
              </w:rPr>
              <w:t>2</w:t>
            </w:r>
            <w:r w:rsidR="00F51BB2">
              <w:rPr>
                <w:b/>
                <w:bCs/>
                <w:sz w:val="24"/>
                <w:szCs w:val="24"/>
              </w:rPr>
              <w:fldChar w:fldCharType="end"/>
            </w:r>
          </w:p>
        </w:sdtContent>
      </w:sdt>
    </w:sdtContent>
  </w:sdt>
  <w:p w14:paraId="4575168B" w14:textId="77777777" w:rsidR="00F51BB2" w:rsidRDefault="00F51B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6C198" w14:textId="30DD5CEF" w:rsidR="00027CDC" w:rsidRDefault="00453245">
    <w:pPr>
      <w:pStyle w:val="Footer"/>
    </w:pPr>
    <w:r>
      <w:rPr>
        <w:noProof/>
      </w:rPr>
      <w:drawing>
        <wp:anchor distT="0" distB="0" distL="114300" distR="114300" simplePos="0" relativeHeight="251661312" behindDoc="1" locked="0" layoutInCell="1" allowOverlap="1" wp14:anchorId="3742F9AB" wp14:editId="791E3A9F">
          <wp:simplePos x="0" y="0"/>
          <wp:positionH relativeFrom="column">
            <wp:posOffset>-1019175</wp:posOffset>
          </wp:positionH>
          <wp:positionV relativeFrom="paragraph">
            <wp:posOffset>161925</wp:posOffset>
          </wp:positionV>
          <wp:extent cx="7682915" cy="485775"/>
          <wp:effectExtent l="0" t="0" r="0" b="0"/>
          <wp:wrapNone/>
          <wp:docPr id="3" name="Picture 3" descr="IGAC footer with web address iga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GAC footer with web address igac.gov.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91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9D30C" w14:textId="77777777" w:rsidR="009E50CC" w:rsidRDefault="009E50CC" w:rsidP="00F51BB2">
      <w:pPr>
        <w:spacing w:after="0" w:line="240" w:lineRule="auto"/>
      </w:pPr>
      <w:r>
        <w:separator/>
      </w:r>
    </w:p>
  </w:footnote>
  <w:footnote w:type="continuationSeparator" w:id="0">
    <w:p w14:paraId="3DAC3746" w14:textId="77777777" w:rsidR="009E50CC" w:rsidRDefault="009E50CC" w:rsidP="00F51BB2">
      <w:pPr>
        <w:spacing w:after="0" w:line="240" w:lineRule="auto"/>
      </w:pPr>
      <w:r>
        <w:continuationSeparator/>
      </w:r>
    </w:p>
  </w:footnote>
  <w:footnote w:type="continuationNotice" w:id="1">
    <w:p w14:paraId="03F78B1D" w14:textId="77777777" w:rsidR="009E50CC" w:rsidRDefault="009E50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C656" w14:textId="77777777" w:rsidR="00D56078" w:rsidRDefault="00D56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83661" w14:textId="12595FC6" w:rsidR="00D56078" w:rsidRDefault="006024B9">
    <w:pPr>
      <w:pStyle w:val="Header"/>
    </w:pPr>
    <w:r>
      <w:rPr>
        <w:rFonts w:ascii="Arial" w:hAnsi="Arial" w:cs="Arial"/>
        <w:b/>
        <w:bCs/>
        <w:noProof/>
        <w:sz w:val="24"/>
        <w:szCs w:val="28"/>
      </w:rPr>
      <w:drawing>
        <wp:anchor distT="0" distB="0" distL="114300" distR="114300" simplePos="0" relativeHeight="251665408" behindDoc="1" locked="0" layoutInCell="1" allowOverlap="1" wp14:anchorId="5D6B885D" wp14:editId="57E0F91E">
          <wp:simplePos x="0" y="0"/>
          <wp:positionH relativeFrom="margin">
            <wp:posOffset>-704850</wp:posOffset>
          </wp:positionH>
          <wp:positionV relativeFrom="margin">
            <wp:posOffset>-751205</wp:posOffset>
          </wp:positionV>
          <wp:extent cx="590550" cy="59055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EB156" w14:textId="7B98EC03" w:rsidR="00027CDC" w:rsidRDefault="00D56078">
    <w:pPr>
      <w:pStyle w:val="Header"/>
    </w:pPr>
    <w:r>
      <w:rPr>
        <w:noProof/>
      </w:rPr>
      <w:drawing>
        <wp:anchor distT="0" distB="0" distL="114300" distR="114300" simplePos="0" relativeHeight="251663360" behindDoc="1" locked="0" layoutInCell="1" allowOverlap="1" wp14:anchorId="34A32A7F" wp14:editId="6E24E496">
          <wp:simplePos x="0" y="0"/>
          <wp:positionH relativeFrom="column">
            <wp:posOffset>-962812</wp:posOffset>
          </wp:positionH>
          <wp:positionV relativeFrom="paragraph">
            <wp:posOffset>-457835</wp:posOffset>
          </wp:positionV>
          <wp:extent cx="7628394" cy="882869"/>
          <wp:effectExtent l="0" t="0" r="0" b="0"/>
          <wp:wrapNone/>
          <wp:docPr id="16" name="Picture 16" descr="IG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GA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8394" cy="88286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1256"/>
    <w:multiLevelType w:val="hybridMultilevel"/>
    <w:tmpl w:val="54FCA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412FF4"/>
    <w:multiLevelType w:val="hybridMultilevel"/>
    <w:tmpl w:val="DB389702"/>
    <w:lvl w:ilvl="0" w:tplc="B91E32F8">
      <w:start w:val="1"/>
      <w:numFmt w:val="decimal"/>
      <w:pStyle w:val="Heading2"/>
      <w:lvlText w:val="%1."/>
      <w:lvlJc w:val="left"/>
      <w:pPr>
        <w:ind w:left="720" w:hanging="360"/>
      </w:pPr>
    </w:lvl>
    <w:lvl w:ilvl="1" w:tplc="B2027D06">
      <w:start w:val="1"/>
      <w:numFmt w:val="lowerLetter"/>
      <w:lvlText w:val="%2."/>
      <w:lvlJc w:val="left"/>
      <w:pPr>
        <w:ind w:left="1440" w:hanging="360"/>
      </w:pPr>
    </w:lvl>
    <w:lvl w:ilvl="2" w:tplc="EFFC5C26">
      <w:start w:val="1"/>
      <w:numFmt w:val="lowerRoman"/>
      <w:lvlText w:val="%3."/>
      <w:lvlJc w:val="right"/>
      <w:pPr>
        <w:ind w:left="2160" w:hanging="180"/>
      </w:pPr>
    </w:lvl>
    <w:lvl w:ilvl="3" w:tplc="6FF69856">
      <w:start w:val="1"/>
      <w:numFmt w:val="decimal"/>
      <w:lvlText w:val="%4."/>
      <w:lvlJc w:val="left"/>
      <w:pPr>
        <w:ind w:left="2880" w:hanging="360"/>
      </w:pPr>
    </w:lvl>
    <w:lvl w:ilvl="4" w:tplc="866A27B8">
      <w:start w:val="1"/>
      <w:numFmt w:val="lowerLetter"/>
      <w:lvlText w:val="%5."/>
      <w:lvlJc w:val="left"/>
      <w:pPr>
        <w:ind w:left="3600" w:hanging="360"/>
      </w:pPr>
    </w:lvl>
    <w:lvl w:ilvl="5" w:tplc="2CE00390">
      <w:start w:val="1"/>
      <w:numFmt w:val="lowerRoman"/>
      <w:lvlText w:val="%6."/>
      <w:lvlJc w:val="right"/>
      <w:pPr>
        <w:ind w:left="4320" w:hanging="180"/>
      </w:pPr>
    </w:lvl>
    <w:lvl w:ilvl="6" w:tplc="0EEE2676">
      <w:start w:val="1"/>
      <w:numFmt w:val="decimal"/>
      <w:lvlText w:val="%7."/>
      <w:lvlJc w:val="left"/>
      <w:pPr>
        <w:ind w:left="5040" w:hanging="360"/>
      </w:pPr>
    </w:lvl>
    <w:lvl w:ilvl="7" w:tplc="D0A01354">
      <w:start w:val="1"/>
      <w:numFmt w:val="lowerLetter"/>
      <w:lvlText w:val="%8."/>
      <w:lvlJc w:val="left"/>
      <w:pPr>
        <w:ind w:left="5760" w:hanging="360"/>
      </w:pPr>
    </w:lvl>
    <w:lvl w:ilvl="8" w:tplc="D0D4FCB6">
      <w:start w:val="1"/>
      <w:numFmt w:val="lowerRoman"/>
      <w:lvlText w:val="%9."/>
      <w:lvlJc w:val="right"/>
      <w:pPr>
        <w:ind w:left="6480" w:hanging="180"/>
      </w:pPr>
    </w:lvl>
  </w:abstractNum>
  <w:abstractNum w:abstractNumId="2" w15:restartNumberingAfterBreak="0">
    <w:nsid w:val="160873EB"/>
    <w:multiLevelType w:val="hybridMultilevel"/>
    <w:tmpl w:val="8A600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14FB38"/>
    <w:multiLevelType w:val="hybridMultilevel"/>
    <w:tmpl w:val="93DCC6FE"/>
    <w:lvl w:ilvl="0" w:tplc="7D8E0D16">
      <w:start w:val="1"/>
      <w:numFmt w:val="bullet"/>
      <w:lvlText w:val=""/>
      <w:lvlJc w:val="left"/>
      <w:pPr>
        <w:ind w:left="720" w:hanging="360"/>
      </w:pPr>
      <w:rPr>
        <w:rFonts w:ascii="Symbol" w:hAnsi="Symbol" w:hint="default"/>
      </w:rPr>
    </w:lvl>
    <w:lvl w:ilvl="1" w:tplc="85F4840C">
      <w:start w:val="1"/>
      <w:numFmt w:val="bullet"/>
      <w:lvlText w:val="o"/>
      <w:lvlJc w:val="left"/>
      <w:pPr>
        <w:ind w:left="1440" w:hanging="360"/>
      </w:pPr>
      <w:rPr>
        <w:rFonts w:ascii="Courier New" w:hAnsi="Courier New" w:hint="default"/>
      </w:rPr>
    </w:lvl>
    <w:lvl w:ilvl="2" w:tplc="481CCDE0">
      <w:start w:val="1"/>
      <w:numFmt w:val="bullet"/>
      <w:lvlText w:val=""/>
      <w:lvlJc w:val="left"/>
      <w:pPr>
        <w:ind w:left="2160" w:hanging="360"/>
      </w:pPr>
      <w:rPr>
        <w:rFonts w:ascii="Wingdings" w:hAnsi="Wingdings" w:hint="default"/>
      </w:rPr>
    </w:lvl>
    <w:lvl w:ilvl="3" w:tplc="8B4668C8">
      <w:start w:val="1"/>
      <w:numFmt w:val="bullet"/>
      <w:lvlText w:val=""/>
      <w:lvlJc w:val="left"/>
      <w:pPr>
        <w:ind w:left="2880" w:hanging="360"/>
      </w:pPr>
      <w:rPr>
        <w:rFonts w:ascii="Symbol" w:hAnsi="Symbol" w:hint="default"/>
      </w:rPr>
    </w:lvl>
    <w:lvl w:ilvl="4" w:tplc="23E42DE0">
      <w:start w:val="1"/>
      <w:numFmt w:val="bullet"/>
      <w:lvlText w:val="o"/>
      <w:lvlJc w:val="left"/>
      <w:pPr>
        <w:ind w:left="3600" w:hanging="360"/>
      </w:pPr>
      <w:rPr>
        <w:rFonts w:ascii="Courier New" w:hAnsi="Courier New" w:hint="default"/>
      </w:rPr>
    </w:lvl>
    <w:lvl w:ilvl="5" w:tplc="53D0CCB8">
      <w:start w:val="1"/>
      <w:numFmt w:val="bullet"/>
      <w:lvlText w:val=""/>
      <w:lvlJc w:val="left"/>
      <w:pPr>
        <w:ind w:left="4320" w:hanging="360"/>
      </w:pPr>
      <w:rPr>
        <w:rFonts w:ascii="Wingdings" w:hAnsi="Wingdings" w:hint="default"/>
      </w:rPr>
    </w:lvl>
    <w:lvl w:ilvl="6" w:tplc="2D30DAD0">
      <w:start w:val="1"/>
      <w:numFmt w:val="bullet"/>
      <w:lvlText w:val=""/>
      <w:lvlJc w:val="left"/>
      <w:pPr>
        <w:ind w:left="5040" w:hanging="360"/>
      </w:pPr>
      <w:rPr>
        <w:rFonts w:ascii="Symbol" w:hAnsi="Symbol" w:hint="default"/>
      </w:rPr>
    </w:lvl>
    <w:lvl w:ilvl="7" w:tplc="D64218B6">
      <w:start w:val="1"/>
      <w:numFmt w:val="bullet"/>
      <w:lvlText w:val="o"/>
      <w:lvlJc w:val="left"/>
      <w:pPr>
        <w:ind w:left="5760" w:hanging="360"/>
      </w:pPr>
      <w:rPr>
        <w:rFonts w:ascii="Courier New" w:hAnsi="Courier New" w:hint="default"/>
      </w:rPr>
    </w:lvl>
    <w:lvl w:ilvl="8" w:tplc="66101024">
      <w:start w:val="1"/>
      <w:numFmt w:val="bullet"/>
      <w:lvlText w:val=""/>
      <w:lvlJc w:val="left"/>
      <w:pPr>
        <w:ind w:left="6480" w:hanging="360"/>
      </w:pPr>
      <w:rPr>
        <w:rFonts w:ascii="Wingdings" w:hAnsi="Wingdings" w:hint="default"/>
      </w:rPr>
    </w:lvl>
  </w:abstractNum>
  <w:abstractNum w:abstractNumId="4" w15:restartNumberingAfterBreak="0">
    <w:nsid w:val="170F5C7D"/>
    <w:multiLevelType w:val="hybridMultilevel"/>
    <w:tmpl w:val="DEC6F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BF6289"/>
    <w:multiLevelType w:val="hybridMultilevel"/>
    <w:tmpl w:val="14B0F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232BF3"/>
    <w:multiLevelType w:val="hybridMultilevel"/>
    <w:tmpl w:val="A1E07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C43D92"/>
    <w:multiLevelType w:val="hybridMultilevel"/>
    <w:tmpl w:val="770A3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1C5AAA"/>
    <w:multiLevelType w:val="hybridMultilevel"/>
    <w:tmpl w:val="EECA6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D03834"/>
    <w:multiLevelType w:val="hybridMultilevel"/>
    <w:tmpl w:val="38F096BC"/>
    <w:lvl w:ilvl="0" w:tplc="1D8CDD9C">
      <w:start w:val="1"/>
      <w:numFmt w:val="decimal"/>
      <w:lvlText w:val="%1."/>
      <w:lvlJc w:val="left"/>
      <w:pPr>
        <w:ind w:left="720" w:hanging="360"/>
      </w:pPr>
    </w:lvl>
    <w:lvl w:ilvl="1" w:tplc="2850D908">
      <w:start w:val="1"/>
      <w:numFmt w:val="lowerLetter"/>
      <w:lvlText w:val="%2."/>
      <w:lvlJc w:val="left"/>
      <w:pPr>
        <w:ind w:left="1440" w:hanging="360"/>
      </w:pPr>
    </w:lvl>
    <w:lvl w:ilvl="2" w:tplc="A3A0E1B8">
      <w:start w:val="1"/>
      <w:numFmt w:val="lowerRoman"/>
      <w:lvlText w:val="%3."/>
      <w:lvlJc w:val="right"/>
      <w:pPr>
        <w:ind w:left="2160" w:hanging="180"/>
      </w:pPr>
    </w:lvl>
    <w:lvl w:ilvl="3" w:tplc="E2DC9FA2">
      <w:start w:val="1"/>
      <w:numFmt w:val="decimal"/>
      <w:lvlText w:val="%4."/>
      <w:lvlJc w:val="left"/>
      <w:pPr>
        <w:ind w:left="2880" w:hanging="360"/>
      </w:pPr>
    </w:lvl>
    <w:lvl w:ilvl="4" w:tplc="B36EEF10">
      <w:start w:val="1"/>
      <w:numFmt w:val="lowerLetter"/>
      <w:lvlText w:val="%5."/>
      <w:lvlJc w:val="left"/>
      <w:pPr>
        <w:ind w:left="3600" w:hanging="360"/>
      </w:pPr>
    </w:lvl>
    <w:lvl w:ilvl="5" w:tplc="B8A887CA">
      <w:start w:val="1"/>
      <w:numFmt w:val="lowerRoman"/>
      <w:lvlText w:val="%6."/>
      <w:lvlJc w:val="right"/>
      <w:pPr>
        <w:ind w:left="4320" w:hanging="180"/>
      </w:pPr>
    </w:lvl>
    <w:lvl w:ilvl="6" w:tplc="F72AA4D6">
      <w:start w:val="1"/>
      <w:numFmt w:val="decimal"/>
      <w:lvlText w:val="%7."/>
      <w:lvlJc w:val="left"/>
      <w:pPr>
        <w:ind w:left="5040" w:hanging="360"/>
      </w:pPr>
    </w:lvl>
    <w:lvl w:ilvl="7" w:tplc="572217D0">
      <w:start w:val="1"/>
      <w:numFmt w:val="lowerLetter"/>
      <w:lvlText w:val="%8."/>
      <w:lvlJc w:val="left"/>
      <w:pPr>
        <w:ind w:left="5760" w:hanging="360"/>
      </w:pPr>
    </w:lvl>
    <w:lvl w:ilvl="8" w:tplc="ED98693E">
      <w:start w:val="1"/>
      <w:numFmt w:val="lowerRoman"/>
      <w:lvlText w:val="%9."/>
      <w:lvlJc w:val="right"/>
      <w:pPr>
        <w:ind w:left="6480" w:hanging="180"/>
      </w:pPr>
    </w:lvl>
  </w:abstractNum>
  <w:abstractNum w:abstractNumId="10" w15:restartNumberingAfterBreak="0">
    <w:nsid w:val="52D21AAB"/>
    <w:multiLevelType w:val="hybridMultilevel"/>
    <w:tmpl w:val="F5DCBE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112838"/>
    <w:multiLevelType w:val="hybridMultilevel"/>
    <w:tmpl w:val="6396E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2517A0"/>
    <w:multiLevelType w:val="hybridMultilevel"/>
    <w:tmpl w:val="FB2E9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354A32"/>
    <w:multiLevelType w:val="hybridMultilevel"/>
    <w:tmpl w:val="45068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FC3D6F"/>
    <w:multiLevelType w:val="hybridMultilevel"/>
    <w:tmpl w:val="2AF8E998"/>
    <w:lvl w:ilvl="0" w:tplc="F5008DEA">
      <w:start w:val="1"/>
      <w:numFmt w:val="decimal"/>
      <w:lvlText w:val="%1."/>
      <w:lvlJc w:val="left"/>
      <w:pPr>
        <w:ind w:left="720" w:hanging="360"/>
      </w:pPr>
    </w:lvl>
    <w:lvl w:ilvl="1" w:tplc="E5DEFD60">
      <w:start w:val="1"/>
      <w:numFmt w:val="lowerLetter"/>
      <w:lvlText w:val="%2."/>
      <w:lvlJc w:val="left"/>
      <w:pPr>
        <w:ind w:left="1440" w:hanging="360"/>
      </w:pPr>
    </w:lvl>
    <w:lvl w:ilvl="2" w:tplc="DD14F0AA">
      <w:start w:val="1"/>
      <w:numFmt w:val="lowerRoman"/>
      <w:lvlText w:val="%3."/>
      <w:lvlJc w:val="right"/>
      <w:pPr>
        <w:ind w:left="2160" w:hanging="180"/>
      </w:pPr>
    </w:lvl>
    <w:lvl w:ilvl="3" w:tplc="3CBA1856">
      <w:start w:val="1"/>
      <w:numFmt w:val="decimal"/>
      <w:lvlText w:val="%4."/>
      <w:lvlJc w:val="left"/>
      <w:pPr>
        <w:ind w:left="2880" w:hanging="360"/>
      </w:pPr>
    </w:lvl>
    <w:lvl w:ilvl="4" w:tplc="F5F0A162">
      <w:start w:val="1"/>
      <w:numFmt w:val="lowerLetter"/>
      <w:lvlText w:val="%5."/>
      <w:lvlJc w:val="left"/>
      <w:pPr>
        <w:ind w:left="3600" w:hanging="360"/>
      </w:pPr>
    </w:lvl>
    <w:lvl w:ilvl="5" w:tplc="DC6A8BCA">
      <w:start w:val="1"/>
      <w:numFmt w:val="lowerRoman"/>
      <w:lvlText w:val="%6."/>
      <w:lvlJc w:val="right"/>
      <w:pPr>
        <w:ind w:left="4320" w:hanging="180"/>
      </w:pPr>
    </w:lvl>
    <w:lvl w:ilvl="6" w:tplc="4A5611F2">
      <w:start w:val="1"/>
      <w:numFmt w:val="decimal"/>
      <w:lvlText w:val="%7."/>
      <w:lvlJc w:val="left"/>
      <w:pPr>
        <w:ind w:left="5040" w:hanging="360"/>
      </w:pPr>
    </w:lvl>
    <w:lvl w:ilvl="7" w:tplc="B6D6B880">
      <w:start w:val="1"/>
      <w:numFmt w:val="lowerLetter"/>
      <w:lvlText w:val="%8."/>
      <w:lvlJc w:val="left"/>
      <w:pPr>
        <w:ind w:left="5760" w:hanging="360"/>
      </w:pPr>
    </w:lvl>
    <w:lvl w:ilvl="8" w:tplc="7ECCD87C">
      <w:start w:val="1"/>
      <w:numFmt w:val="lowerRoman"/>
      <w:lvlText w:val="%9."/>
      <w:lvlJc w:val="right"/>
      <w:pPr>
        <w:ind w:left="6480" w:hanging="180"/>
      </w:pPr>
    </w:lvl>
  </w:abstractNum>
  <w:num w:numId="1" w16cid:durableId="1799175985">
    <w:abstractNumId w:val="2"/>
  </w:num>
  <w:num w:numId="2" w16cid:durableId="615983853">
    <w:abstractNumId w:val="12"/>
  </w:num>
  <w:num w:numId="3" w16cid:durableId="486096297">
    <w:abstractNumId w:val="10"/>
  </w:num>
  <w:num w:numId="4" w16cid:durableId="589168852">
    <w:abstractNumId w:val="4"/>
  </w:num>
  <w:num w:numId="5" w16cid:durableId="447163313">
    <w:abstractNumId w:val="11"/>
  </w:num>
  <w:num w:numId="6" w16cid:durableId="1088573554">
    <w:abstractNumId w:val="5"/>
  </w:num>
  <w:num w:numId="7" w16cid:durableId="431974536">
    <w:abstractNumId w:val="6"/>
  </w:num>
  <w:num w:numId="8" w16cid:durableId="1899582736">
    <w:abstractNumId w:val="8"/>
  </w:num>
  <w:num w:numId="9" w16cid:durableId="1393236120">
    <w:abstractNumId w:val="13"/>
  </w:num>
  <w:num w:numId="10" w16cid:durableId="533079752">
    <w:abstractNumId w:val="7"/>
  </w:num>
  <w:num w:numId="11" w16cid:durableId="1246064856">
    <w:abstractNumId w:val="9"/>
  </w:num>
  <w:num w:numId="12" w16cid:durableId="1352297712">
    <w:abstractNumId w:val="1"/>
  </w:num>
  <w:num w:numId="13" w16cid:durableId="154685594">
    <w:abstractNumId w:val="14"/>
  </w:num>
  <w:num w:numId="14" w16cid:durableId="1713529756">
    <w:abstractNumId w:val="3"/>
  </w:num>
  <w:num w:numId="15" w16cid:durableId="1931229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614"/>
    <w:rsid w:val="00025E6E"/>
    <w:rsid w:val="00027CDC"/>
    <w:rsid w:val="00041E04"/>
    <w:rsid w:val="00086040"/>
    <w:rsid w:val="000B1C9E"/>
    <w:rsid w:val="000C7F73"/>
    <w:rsid w:val="000D7909"/>
    <w:rsid w:val="000E58AB"/>
    <w:rsid w:val="000E5DAE"/>
    <w:rsid w:val="000F6CF3"/>
    <w:rsid w:val="0011612F"/>
    <w:rsid w:val="00132E27"/>
    <w:rsid w:val="00135AAB"/>
    <w:rsid w:val="00155E91"/>
    <w:rsid w:val="001656A5"/>
    <w:rsid w:val="00175B47"/>
    <w:rsid w:val="0018372B"/>
    <w:rsid w:val="0018447B"/>
    <w:rsid w:val="00192B92"/>
    <w:rsid w:val="001D18C3"/>
    <w:rsid w:val="001E0114"/>
    <w:rsid w:val="001F13DE"/>
    <w:rsid w:val="00206871"/>
    <w:rsid w:val="00212BDB"/>
    <w:rsid w:val="00212C9C"/>
    <w:rsid w:val="00232666"/>
    <w:rsid w:val="0023724D"/>
    <w:rsid w:val="00251382"/>
    <w:rsid w:val="0026211C"/>
    <w:rsid w:val="00274B26"/>
    <w:rsid w:val="00297AE6"/>
    <w:rsid w:val="002A0049"/>
    <w:rsid w:val="002B02BA"/>
    <w:rsid w:val="002E4293"/>
    <w:rsid w:val="002F204C"/>
    <w:rsid w:val="002F6CE6"/>
    <w:rsid w:val="0036394D"/>
    <w:rsid w:val="00363B0C"/>
    <w:rsid w:val="00385A19"/>
    <w:rsid w:val="003A1C09"/>
    <w:rsid w:val="003B3D81"/>
    <w:rsid w:val="003B6DF6"/>
    <w:rsid w:val="003E1728"/>
    <w:rsid w:val="003E6471"/>
    <w:rsid w:val="003E6686"/>
    <w:rsid w:val="003F0879"/>
    <w:rsid w:val="003F4A05"/>
    <w:rsid w:val="00453245"/>
    <w:rsid w:val="004847DD"/>
    <w:rsid w:val="00484B9C"/>
    <w:rsid w:val="004B7008"/>
    <w:rsid w:val="004C2881"/>
    <w:rsid w:val="004F23D6"/>
    <w:rsid w:val="004F3225"/>
    <w:rsid w:val="004F451E"/>
    <w:rsid w:val="004F75B8"/>
    <w:rsid w:val="00502231"/>
    <w:rsid w:val="0057692F"/>
    <w:rsid w:val="00583014"/>
    <w:rsid w:val="00596E23"/>
    <w:rsid w:val="005A486D"/>
    <w:rsid w:val="005B60CE"/>
    <w:rsid w:val="005E4AD6"/>
    <w:rsid w:val="006013F1"/>
    <w:rsid w:val="006024B9"/>
    <w:rsid w:val="00624B58"/>
    <w:rsid w:val="00663850"/>
    <w:rsid w:val="00682EEC"/>
    <w:rsid w:val="00683D3F"/>
    <w:rsid w:val="006A37E1"/>
    <w:rsid w:val="006B21ED"/>
    <w:rsid w:val="006B6553"/>
    <w:rsid w:val="006C09D3"/>
    <w:rsid w:val="006C4151"/>
    <w:rsid w:val="006E072F"/>
    <w:rsid w:val="006E48EC"/>
    <w:rsid w:val="006E7A70"/>
    <w:rsid w:val="006F101A"/>
    <w:rsid w:val="006F4B3A"/>
    <w:rsid w:val="0070010D"/>
    <w:rsid w:val="007013B6"/>
    <w:rsid w:val="00701DDA"/>
    <w:rsid w:val="0070600C"/>
    <w:rsid w:val="00786B78"/>
    <w:rsid w:val="007A4C8A"/>
    <w:rsid w:val="007C066D"/>
    <w:rsid w:val="007C78DD"/>
    <w:rsid w:val="007F0ED6"/>
    <w:rsid w:val="008022EF"/>
    <w:rsid w:val="00806AE3"/>
    <w:rsid w:val="00837990"/>
    <w:rsid w:val="008649A5"/>
    <w:rsid w:val="008B140C"/>
    <w:rsid w:val="008D07D4"/>
    <w:rsid w:val="008D3FBA"/>
    <w:rsid w:val="008E3AA7"/>
    <w:rsid w:val="008E7D08"/>
    <w:rsid w:val="00910E71"/>
    <w:rsid w:val="00916B7E"/>
    <w:rsid w:val="009175B2"/>
    <w:rsid w:val="0094576F"/>
    <w:rsid w:val="0095631C"/>
    <w:rsid w:val="0096400F"/>
    <w:rsid w:val="00964423"/>
    <w:rsid w:val="009B3079"/>
    <w:rsid w:val="009B43A5"/>
    <w:rsid w:val="009CD45B"/>
    <w:rsid w:val="009E50CC"/>
    <w:rsid w:val="00A20A60"/>
    <w:rsid w:val="00A33870"/>
    <w:rsid w:val="00A41B55"/>
    <w:rsid w:val="00A44262"/>
    <w:rsid w:val="00A44A26"/>
    <w:rsid w:val="00A453B8"/>
    <w:rsid w:val="00A50D79"/>
    <w:rsid w:val="00A53DA5"/>
    <w:rsid w:val="00A70C9F"/>
    <w:rsid w:val="00A74DFB"/>
    <w:rsid w:val="00A8113E"/>
    <w:rsid w:val="00A829F0"/>
    <w:rsid w:val="00A966E8"/>
    <w:rsid w:val="00AA7DD4"/>
    <w:rsid w:val="00AB4E97"/>
    <w:rsid w:val="00AB5E56"/>
    <w:rsid w:val="00AC3F14"/>
    <w:rsid w:val="00AD460E"/>
    <w:rsid w:val="00AE0F76"/>
    <w:rsid w:val="00AE286E"/>
    <w:rsid w:val="00B074F4"/>
    <w:rsid w:val="00B24081"/>
    <w:rsid w:val="00B2437D"/>
    <w:rsid w:val="00B41705"/>
    <w:rsid w:val="00B63B39"/>
    <w:rsid w:val="00B64614"/>
    <w:rsid w:val="00B72EAB"/>
    <w:rsid w:val="00B7797D"/>
    <w:rsid w:val="00B814A5"/>
    <w:rsid w:val="00BA5E8C"/>
    <w:rsid w:val="00BD7C76"/>
    <w:rsid w:val="00C03985"/>
    <w:rsid w:val="00C2742C"/>
    <w:rsid w:val="00C51730"/>
    <w:rsid w:val="00C54D02"/>
    <w:rsid w:val="00C75566"/>
    <w:rsid w:val="00C77B32"/>
    <w:rsid w:val="00CA5D94"/>
    <w:rsid w:val="00CE2800"/>
    <w:rsid w:val="00D03741"/>
    <w:rsid w:val="00D05A9B"/>
    <w:rsid w:val="00D212B7"/>
    <w:rsid w:val="00D23774"/>
    <w:rsid w:val="00D56078"/>
    <w:rsid w:val="00D60CF0"/>
    <w:rsid w:val="00D6511F"/>
    <w:rsid w:val="00D677E1"/>
    <w:rsid w:val="00D8324F"/>
    <w:rsid w:val="00DF10D1"/>
    <w:rsid w:val="00DF79D2"/>
    <w:rsid w:val="00E20547"/>
    <w:rsid w:val="00E224F7"/>
    <w:rsid w:val="00E46294"/>
    <w:rsid w:val="00E661E2"/>
    <w:rsid w:val="00E9459A"/>
    <w:rsid w:val="00E962A0"/>
    <w:rsid w:val="00EB53DD"/>
    <w:rsid w:val="00EC1DA7"/>
    <w:rsid w:val="00EC6815"/>
    <w:rsid w:val="00EF0CFD"/>
    <w:rsid w:val="00EF69BD"/>
    <w:rsid w:val="00F017CE"/>
    <w:rsid w:val="00F04414"/>
    <w:rsid w:val="00F22077"/>
    <w:rsid w:val="00F32138"/>
    <w:rsid w:val="00F51BB2"/>
    <w:rsid w:val="00F67620"/>
    <w:rsid w:val="00F7284C"/>
    <w:rsid w:val="00F73281"/>
    <w:rsid w:val="00F7649F"/>
    <w:rsid w:val="00F90337"/>
    <w:rsid w:val="00F95B3E"/>
    <w:rsid w:val="00F97DEA"/>
    <w:rsid w:val="00FB5BA2"/>
    <w:rsid w:val="00FC3363"/>
    <w:rsid w:val="00FD3594"/>
    <w:rsid w:val="00FE7ADF"/>
    <w:rsid w:val="02C42F1C"/>
    <w:rsid w:val="02DA7625"/>
    <w:rsid w:val="0309AC75"/>
    <w:rsid w:val="0772B3EF"/>
    <w:rsid w:val="0813A4CE"/>
    <w:rsid w:val="0838478C"/>
    <w:rsid w:val="086FAAA9"/>
    <w:rsid w:val="08E16A46"/>
    <w:rsid w:val="098DCDDA"/>
    <w:rsid w:val="09DB6724"/>
    <w:rsid w:val="0A41334E"/>
    <w:rsid w:val="0AC0B7A3"/>
    <w:rsid w:val="0B01EFEC"/>
    <w:rsid w:val="0B8F6B71"/>
    <w:rsid w:val="0BC008BD"/>
    <w:rsid w:val="0C02A927"/>
    <w:rsid w:val="0CB977F3"/>
    <w:rsid w:val="0CCC6356"/>
    <w:rsid w:val="0CCCD055"/>
    <w:rsid w:val="0D517A51"/>
    <w:rsid w:val="0E4D05E8"/>
    <w:rsid w:val="0F77467F"/>
    <w:rsid w:val="10E35FF3"/>
    <w:rsid w:val="11DA265B"/>
    <w:rsid w:val="122D9817"/>
    <w:rsid w:val="123BD131"/>
    <w:rsid w:val="124584FD"/>
    <w:rsid w:val="14CD290F"/>
    <w:rsid w:val="15419558"/>
    <w:rsid w:val="15AE970E"/>
    <w:rsid w:val="187C9AAC"/>
    <w:rsid w:val="191FD1E8"/>
    <w:rsid w:val="1993EFDC"/>
    <w:rsid w:val="19C34253"/>
    <w:rsid w:val="1B4A6418"/>
    <w:rsid w:val="1B90DC30"/>
    <w:rsid w:val="1CD851EF"/>
    <w:rsid w:val="1CE13F8B"/>
    <w:rsid w:val="1D645DFA"/>
    <w:rsid w:val="1DBB1C44"/>
    <w:rsid w:val="1E6329B2"/>
    <w:rsid w:val="1EA5C60F"/>
    <w:rsid w:val="1EDA9726"/>
    <w:rsid w:val="262D0FB1"/>
    <w:rsid w:val="275FC427"/>
    <w:rsid w:val="276470FB"/>
    <w:rsid w:val="27CE9333"/>
    <w:rsid w:val="29715237"/>
    <w:rsid w:val="29775C93"/>
    <w:rsid w:val="2A9DBDDD"/>
    <w:rsid w:val="2BA0AB49"/>
    <w:rsid w:val="2BCCAC43"/>
    <w:rsid w:val="2C1B3BDD"/>
    <w:rsid w:val="2C2D26DF"/>
    <w:rsid w:val="2C7583FA"/>
    <w:rsid w:val="2ECCD9EE"/>
    <w:rsid w:val="3070F09C"/>
    <w:rsid w:val="30C39CFF"/>
    <w:rsid w:val="30D124F7"/>
    <w:rsid w:val="30EFB873"/>
    <w:rsid w:val="35FEA7EA"/>
    <w:rsid w:val="377D5A02"/>
    <w:rsid w:val="38F07099"/>
    <w:rsid w:val="38FACA58"/>
    <w:rsid w:val="39D468BC"/>
    <w:rsid w:val="3A3377CA"/>
    <w:rsid w:val="3A39A36E"/>
    <w:rsid w:val="3A8448FA"/>
    <w:rsid w:val="3AF748A5"/>
    <w:rsid w:val="3C88E924"/>
    <w:rsid w:val="3D1F532D"/>
    <w:rsid w:val="3D33727E"/>
    <w:rsid w:val="3E922F11"/>
    <w:rsid w:val="3E94C19C"/>
    <w:rsid w:val="3FD995FD"/>
    <w:rsid w:val="3FE9ED14"/>
    <w:rsid w:val="401E4B4E"/>
    <w:rsid w:val="410DC9C3"/>
    <w:rsid w:val="4185BD75"/>
    <w:rsid w:val="41A3EB35"/>
    <w:rsid w:val="42256152"/>
    <w:rsid w:val="42A99A24"/>
    <w:rsid w:val="43F5993A"/>
    <w:rsid w:val="44456A85"/>
    <w:rsid w:val="45068466"/>
    <w:rsid w:val="47D2D3AA"/>
    <w:rsid w:val="48F03171"/>
    <w:rsid w:val="4DEFD3E4"/>
    <w:rsid w:val="4EE34C78"/>
    <w:rsid w:val="4F28B9C0"/>
    <w:rsid w:val="502C5CA0"/>
    <w:rsid w:val="50D27D48"/>
    <w:rsid w:val="50DCFD65"/>
    <w:rsid w:val="50FCDDE9"/>
    <w:rsid w:val="520C8C78"/>
    <w:rsid w:val="53FC2AE3"/>
    <w:rsid w:val="54C4991B"/>
    <w:rsid w:val="5666E8D1"/>
    <w:rsid w:val="56DD3849"/>
    <w:rsid w:val="56F67563"/>
    <w:rsid w:val="57801E7E"/>
    <w:rsid w:val="581E2E9A"/>
    <w:rsid w:val="5C5035A2"/>
    <w:rsid w:val="5DAE24C8"/>
    <w:rsid w:val="5E6BA954"/>
    <w:rsid w:val="5EC3E2CE"/>
    <w:rsid w:val="630C154A"/>
    <w:rsid w:val="63820E52"/>
    <w:rsid w:val="63F0D6FC"/>
    <w:rsid w:val="63F77184"/>
    <w:rsid w:val="64005064"/>
    <w:rsid w:val="65B35E5F"/>
    <w:rsid w:val="66400FA2"/>
    <w:rsid w:val="672BE50F"/>
    <w:rsid w:val="6A912B1E"/>
    <w:rsid w:val="6AE08331"/>
    <w:rsid w:val="6B15F336"/>
    <w:rsid w:val="6BE6F5E5"/>
    <w:rsid w:val="6C82A331"/>
    <w:rsid w:val="6CBCA644"/>
    <w:rsid w:val="6CDE74FB"/>
    <w:rsid w:val="6DB9103A"/>
    <w:rsid w:val="6E758764"/>
    <w:rsid w:val="6FBAFC45"/>
    <w:rsid w:val="71800AAF"/>
    <w:rsid w:val="71AE53EA"/>
    <w:rsid w:val="72705FDA"/>
    <w:rsid w:val="7271F2CA"/>
    <w:rsid w:val="729FB24B"/>
    <w:rsid w:val="72D488FD"/>
    <w:rsid w:val="73504635"/>
    <w:rsid w:val="73CF241B"/>
    <w:rsid w:val="7457EBA6"/>
    <w:rsid w:val="7685B511"/>
    <w:rsid w:val="76B60B5D"/>
    <w:rsid w:val="777E41DA"/>
    <w:rsid w:val="779F2207"/>
    <w:rsid w:val="77A2E681"/>
    <w:rsid w:val="7832181A"/>
    <w:rsid w:val="787467AD"/>
    <w:rsid w:val="79F0731C"/>
    <w:rsid w:val="7ACFED80"/>
    <w:rsid w:val="7CD7FAE1"/>
    <w:rsid w:val="7D431F2A"/>
    <w:rsid w:val="7FD2D75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729A8"/>
  <w15:chartTrackingRefBased/>
  <w15:docId w15:val="{2D8EF0A3-254D-47EA-8D51-AC38806BE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1D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3"/>
    <w:next w:val="Normal"/>
    <w:link w:val="Heading2Char"/>
    <w:uiPriority w:val="9"/>
    <w:unhideWhenUsed/>
    <w:qFormat/>
    <w:rsid w:val="00132E27"/>
    <w:pPr>
      <w:numPr>
        <w:numId w:val="12"/>
      </w:numPr>
      <w:spacing w:before="240"/>
      <w:ind w:left="357" w:hanging="357"/>
      <w:outlineLvl w:val="1"/>
    </w:pPr>
    <w:rPr>
      <w:b w:val="0"/>
      <w:color w:val="002060"/>
      <w:sz w:val="28"/>
      <w:szCs w:val="28"/>
    </w:rPr>
  </w:style>
  <w:style w:type="paragraph" w:styleId="Heading3">
    <w:name w:val="heading 3"/>
    <w:basedOn w:val="Normal"/>
    <w:next w:val="Normal"/>
    <w:link w:val="Heading3Char"/>
    <w:uiPriority w:val="9"/>
    <w:unhideWhenUsed/>
    <w:qFormat/>
    <w:rsid w:val="00132E27"/>
    <w:pPr>
      <w:keepNext/>
      <w:keepLines/>
      <w:spacing w:before="4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DA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2E27"/>
    <w:rPr>
      <w:rFonts w:eastAsiaTheme="majorEastAsia" w:cstheme="majorBidi"/>
      <w:color w:val="002060"/>
      <w:sz w:val="28"/>
      <w:szCs w:val="28"/>
    </w:rPr>
  </w:style>
  <w:style w:type="character" w:customStyle="1" w:styleId="Heading3Char">
    <w:name w:val="Heading 3 Char"/>
    <w:basedOn w:val="DefaultParagraphFont"/>
    <w:link w:val="Heading3"/>
    <w:uiPriority w:val="9"/>
    <w:rsid w:val="00132E27"/>
    <w:rPr>
      <w:rFonts w:eastAsiaTheme="majorEastAsia" w:cstheme="majorBidi"/>
      <w:b/>
      <w:szCs w:val="24"/>
    </w:rPr>
  </w:style>
  <w:style w:type="paragraph" w:styleId="ListParagraph">
    <w:name w:val="List Paragraph"/>
    <w:basedOn w:val="Normal"/>
    <w:uiPriority w:val="34"/>
    <w:qFormat/>
    <w:rsid w:val="00EC1DA7"/>
    <w:pPr>
      <w:ind w:left="720"/>
      <w:contextualSpacing/>
    </w:pPr>
  </w:style>
  <w:style w:type="character" w:customStyle="1" w:styleId="normaltextrun">
    <w:name w:val="normaltextrun"/>
    <w:basedOn w:val="DefaultParagraphFont"/>
    <w:rsid w:val="002A0049"/>
  </w:style>
  <w:style w:type="paragraph" w:customStyle="1" w:styleId="paragraph">
    <w:name w:val="paragraph"/>
    <w:basedOn w:val="Normal"/>
    <w:rsid w:val="002A004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abchar">
    <w:name w:val="tabchar"/>
    <w:basedOn w:val="DefaultParagraphFont"/>
    <w:rsid w:val="002A0049"/>
  </w:style>
  <w:style w:type="character" w:customStyle="1" w:styleId="eop">
    <w:name w:val="eop"/>
    <w:basedOn w:val="DefaultParagraphFont"/>
    <w:rsid w:val="002A0049"/>
  </w:style>
  <w:style w:type="paragraph" w:styleId="Header">
    <w:name w:val="header"/>
    <w:basedOn w:val="Normal"/>
    <w:link w:val="HeaderChar"/>
    <w:uiPriority w:val="99"/>
    <w:unhideWhenUsed/>
    <w:rsid w:val="00F51B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BB2"/>
  </w:style>
  <w:style w:type="paragraph" w:styleId="Footer">
    <w:name w:val="footer"/>
    <w:basedOn w:val="Normal"/>
    <w:link w:val="FooterChar"/>
    <w:uiPriority w:val="99"/>
    <w:unhideWhenUsed/>
    <w:rsid w:val="00F51B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BB2"/>
  </w:style>
  <w:style w:type="character" w:styleId="CommentReference">
    <w:name w:val="annotation reference"/>
    <w:basedOn w:val="DefaultParagraphFont"/>
    <w:uiPriority w:val="99"/>
    <w:semiHidden/>
    <w:unhideWhenUsed/>
    <w:rsid w:val="006F101A"/>
    <w:rPr>
      <w:sz w:val="16"/>
      <w:szCs w:val="16"/>
    </w:rPr>
  </w:style>
  <w:style w:type="paragraph" w:styleId="CommentText">
    <w:name w:val="annotation text"/>
    <w:basedOn w:val="Normal"/>
    <w:link w:val="CommentTextChar"/>
    <w:uiPriority w:val="99"/>
    <w:semiHidden/>
    <w:unhideWhenUsed/>
    <w:rsid w:val="006F101A"/>
    <w:pPr>
      <w:spacing w:line="240" w:lineRule="auto"/>
    </w:pPr>
    <w:rPr>
      <w:sz w:val="20"/>
      <w:szCs w:val="20"/>
    </w:rPr>
  </w:style>
  <w:style w:type="character" w:customStyle="1" w:styleId="CommentTextChar">
    <w:name w:val="Comment Text Char"/>
    <w:basedOn w:val="DefaultParagraphFont"/>
    <w:link w:val="CommentText"/>
    <w:uiPriority w:val="99"/>
    <w:semiHidden/>
    <w:rsid w:val="006F101A"/>
    <w:rPr>
      <w:sz w:val="20"/>
      <w:szCs w:val="20"/>
    </w:rPr>
  </w:style>
  <w:style w:type="paragraph" w:styleId="CommentSubject">
    <w:name w:val="annotation subject"/>
    <w:basedOn w:val="CommentText"/>
    <w:next w:val="CommentText"/>
    <w:link w:val="CommentSubjectChar"/>
    <w:uiPriority w:val="99"/>
    <w:semiHidden/>
    <w:unhideWhenUsed/>
    <w:rsid w:val="006F101A"/>
    <w:rPr>
      <w:b/>
      <w:bCs/>
    </w:rPr>
  </w:style>
  <w:style w:type="character" w:customStyle="1" w:styleId="CommentSubjectChar">
    <w:name w:val="Comment Subject Char"/>
    <w:basedOn w:val="CommentTextChar"/>
    <w:link w:val="CommentSubject"/>
    <w:uiPriority w:val="99"/>
    <w:semiHidden/>
    <w:rsid w:val="006F101A"/>
    <w:rPr>
      <w:b/>
      <w:bCs/>
      <w:sz w:val="20"/>
      <w:szCs w:val="20"/>
    </w:rPr>
  </w:style>
  <w:style w:type="paragraph" w:styleId="TOC1">
    <w:name w:val="toc 1"/>
    <w:basedOn w:val="Normal"/>
    <w:next w:val="Normal"/>
    <w:autoRedefine/>
    <w:uiPriority w:val="39"/>
    <w:unhideWhenUsed/>
    <w:rsid w:val="00AE0F76"/>
    <w:pPr>
      <w:spacing w:after="100"/>
    </w:pPr>
  </w:style>
  <w:style w:type="character" w:styleId="Hyperlink">
    <w:name w:val="Hyperlink"/>
    <w:basedOn w:val="DefaultParagraphFont"/>
    <w:uiPriority w:val="99"/>
    <w:unhideWhenUsed/>
    <w:rsid w:val="00AE0F76"/>
    <w:rPr>
      <w:color w:val="0563C1" w:themeColor="hyperlink"/>
      <w:u w:val="single"/>
    </w:rPr>
  </w:style>
  <w:style w:type="paragraph" w:styleId="Title">
    <w:name w:val="Title"/>
    <w:basedOn w:val="Normal"/>
    <w:next w:val="Normal"/>
    <w:link w:val="TitleChar"/>
    <w:uiPriority w:val="10"/>
    <w:qFormat/>
    <w:rsid w:val="006013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13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13F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013F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016291">
      <w:bodyDiv w:val="1"/>
      <w:marLeft w:val="0"/>
      <w:marRight w:val="0"/>
      <w:marTop w:val="0"/>
      <w:marBottom w:val="0"/>
      <w:divBdr>
        <w:top w:val="none" w:sz="0" w:space="0" w:color="auto"/>
        <w:left w:val="none" w:sz="0" w:space="0" w:color="auto"/>
        <w:bottom w:val="none" w:sz="0" w:space="0" w:color="auto"/>
        <w:right w:val="none" w:sz="0" w:space="0" w:color="auto"/>
      </w:divBdr>
      <w:divsChild>
        <w:div w:id="1447851622">
          <w:marLeft w:val="0"/>
          <w:marRight w:val="0"/>
          <w:marTop w:val="0"/>
          <w:marBottom w:val="0"/>
          <w:divBdr>
            <w:top w:val="none" w:sz="0" w:space="0" w:color="auto"/>
            <w:left w:val="none" w:sz="0" w:space="0" w:color="auto"/>
            <w:bottom w:val="none" w:sz="0" w:space="0" w:color="auto"/>
            <w:right w:val="none" w:sz="0" w:space="0" w:color="auto"/>
          </w:divBdr>
          <w:divsChild>
            <w:div w:id="1637370627">
              <w:marLeft w:val="0"/>
              <w:marRight w:val="0"/>
              <w:marTop w:val="0"/>
              <w:marBottom w:val="0"/>
              <w:divBdr>
                <w:top w:val="none" w:sz="0" w:space="0" w:color="auto"/>
                <w:left w:val="none" w:sz="0" w:space="0" w:color="auto"/>
                <w:bottom w:val="none" w:sz="0" w:space="0" w:color="auto"/>
                <w:right w:val="none" w:sz="0" w:space="0" w:color="auto"/>
              </w:divBdr>
            </w:div>
          </w:divsChild>
        </w:div>
        <w:div w:id="1546454551">
          <w:marLeft w:val="0"/>
          <w:marRight w:val="0"/>
          <w:marTop w:val="0"/>
          <w:marBottom w:val="0"/>
          <w:divBdr>
            <w:top w:val="none" w:sz="0" w:space="0" w:color="auto"/>
            <w:left w:val="none" w:sz="0" w:space="0" w:color="auto"/>
            <w:bottom w:val="none" w:sz="0" w:space="0" w:color="auto"/>
            <w:right w:val="none" w:sz="0" w:space="0" w:color="auto"/>
          </w:divBdr>
          <w:divsChild>
            <w:div w:id="126484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20272">
      <w:bodyDiv w:val="1"/>
      <w:marLeft w:val="0"/>
      <w:marRight w:val="0"/>
      <w:marTop w:val="0"/>
      <w:marBottom w:val="0"/>
      <w:divBdr>
        <w:top w:val="none" w:sz="0" w:space="0" w:color="auto"/>
        <w:left w:val="none" w:sz="0" w:space="0" w:color="auto"/>
        <w:bottom w:val="none" w:sz="0" w:space="0" w:color="auto"/>
        <w:right w:val="none" w:sz="0" w:space="0" w:color="auto"/>
      </w:divBdr>
      <w:divsChild>
        <w:div w:id="241793706">
          <w:marLeft w:val="0"/>
          <w:marRight w:val="0"/>
          <w:marTop w:val="0"/>
          <w:marBottom w:val="0"/>
          <w:divBdr>
            <w:top w:val="none" w:sz="0" w:space="0" w:color="auto"/>
            <w:left w:val="none" w:sz="0" w:space="0" w:color="auto"/>
            <w:bottom w:val="none" w:sz="0" w:space="0" w:color="auto"/>
            <w:right w:val="none" w:sz="0" w:space="0" w:color="auto"/>
          </w:divBdr>
        </w:div>
        <w:div w:id="294721565">
          <w:marLeft w:val="0"/>
          <w:marRight w:val="0"/>
          <w:marTop w:val="0"/>
          <w:marBottom w:val="0"/>
          <w:divBdr>
            <w:top w:val="none" w:sz="0" w:space="0" w:color="auto"/>
            <w:left w:val="none" w:sz="0" w:space="0" w:color="auto"/>
            <w:bottom w:val="none" w:sz="0" w:space="0" w:color="auto"/>
            <w:right w:val="none" w:sz="0" w:space="0" w:color="auto"/>
          </w:divBdr>
        </w:div>
        <w:div w:id="1504708698">
          <w:marLeft w:val="0"/>
          <w:marRight w:val="0"/>
          <w:marTop w:val="0"/>
          <w:marBottom w:val="0"/>
          <w:divBdr>
            <w:top w:val="none" w:sz="0" w:space="0" w:color="auto"/>
            <w:left w:val="none" w:sz="0" w:space="0" w:color="auto"/>
            <w:bottom w:val="none" w:sz="0" w:space="0" w:color="auto"/>
            <w:right w:val="none" w:sz="0" w:space="0" w:color="auto"/>
          </w:divBdr>
        </w:div>
        <w:div w:id="1710298427">
          <w:marLeft w:val="0"/>
          <w:marRight w:val="0"/>
          <w:marTop w:val="0"/>
          <w:marBottom w:val="0"/>
          <w:divBdr>
            <w:top w:val="none" w:sz="0" w:space="0" w:color="auto"/>
            <w:left w:val="none" w:sz="0" w:space="0" w:color="auto"/>
            <w:bottom w:val="none" w:sz="0" w:space="0" w:color="auto"/>
            <w:right w:val="none" w:sz="0" w:space="0" w:color="auto"/>
          </w:divBdr>
        </w:div>
        <w:div w:id="1944149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3" ma:contentTypeDescription="Create a new document." ma:contentTypeScope="" ma:versionID="2ad65dcd2287509892a5262dc0626b5d">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68b8e78cdb2e0c6e71dafa509c2a0510"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DFE3D3-1F29-407D-975E-69F10A929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FEC3FF-D08F-4A49-81C7-B078A7830549}">
  <ds:schemaRefs>
    <ds:schemaRef ds:uri="http://schemas.microsoft.com/office/2006/metadata/properties"/>
    <ds:schemaRef ds:uri="http://schemas.microsoft.com/office/infopath/2007/PartnerControls"/>
    <ds:schemaRef ds:uri="236487dd-ec90-4f99-8970-1318e5f29791"/>
    <ds:schemaRef ds:uri="dcf7b372-aaaa-46d8-9da6-ade9aab953df"/>
  </ds:schemaRefs>
</ds:datastoreItem>
</file>

<file path=customXml/itemProps3.xml><?xml version="1.0" encoding="utf-8"?>
<ds:datastoreItem xmlns:ds="http://schemas.openxmlformats.org/officeDocument/2006/customXml" ds:itemID="{36960531-01C4-480E-9596-10CAABB8DE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1336</Words>
  <Characters>7602</Characters>
  <Application>Microsoft Office Word</Application>
  <DocSecurity>0</DocSecurity>
  <Lines>138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IGAC complaints handling policy</dc:title>
  <dc:subject/>
  <dc:creator>Office of the Inspector-General of Aged Care</dc:creator>
  <cp:keywords/>
  <dc:description/>
  <cp:lastModifiedBy>ROBERTSON, Jen</cp:lastModifiedBy>
  <cp:revision>12</cp:revision>
  <cp:lastPrinted>2023-10-13T04:45:00Z</cp:lastPrinted>
  <dcterms:created xsi:type="dcterms:W3CDTF">2023-10-14T23:54:00Z</dcterms:created>
  <dcterms:modified xsi:type="dcterms:W3CDTF">2023-10-15T12:03:00Z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y fmtid="{D5CDD505-2E9C-101B-9397-08002B2CF9AE}" pid="3" name="MediaServiceImageTags">
    <vt:lpwstr/>
  </property>
  <property fmtid="{D5CDD505-2E9C-101B-9397-08002B2CF9AE}" pid="4" name="QAChecked">
    <vt:bool>true</vt:bool>
  </property>
  <property fmtid="{D5CDD505-2E9C-101B-9397-08002B2CF9AE}" pid="5" name="Policystatus">
    <vt:lpwstr>Draft</vt:lpwstr>
  </property>
  <property fmtid="{D5CDD505-2E9C-101B-9397-08002B2CF9AE}" pid="6" name="PersonResponsible">
    <vt:lpwstr/>
  </property>
</Properties>
</file>