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3925" w14:textId="5C8F4A56" w:rsidR="00E23F7C" w:rsidRDefault="003C3E61" w:rsidP="006F3496">
      <w:pPr>
        <w:tabs>
          <w:tab w:val="left" w:pos="2592"/>
        </w:tabs>
        <w:autoSpaceDE w:val="0"/>
        <w:autoSpaceDN w:val="0"/>
        <w:adjustRightInd w:val="0"/>
        <w:spacing w:after="0" w:line="240" w:lineRule="auto"/>
        <w:rPr>
          <w:rFonts w:cs="Arial"/>
          <w:b/>
          <w:bCs/>
          <w:color w:val="FFFFFF" w:themeColor="background1"/>
          <w:sz w:val="96"/>
          <w:szCs w:val="96"/>
        </w:rPr>
      </w:pPr>
      <w:r>
        <w:rPr>
          <w:noProof/>
        </w:rPr>
        <w:drawing>
          <wp:anchor distT="0" distB="0" distL="114300" distR="114300" simplePos="0" relativeHeight="251658240" behindDoc="1" locked="0" layoutInCell="1" allowOverlap="1" wp14:anchorId="78602A85" wp14:editId="1ECA386B">
            <wp:simplePos x="0" y="0"/>
            <wp:positionH relativeFrom="page">
              <wp:posOffset>-26670</wp:posOffset>
            </wp:positionH>
            <wp:positionV relativeFrom="paragraph">
              <wp:posOffset>-1216215</wp:posOffset>
            </wp:positionV>
            <wp:extent cx="7586980" cy="109728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6980" cy="1097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082">
        <w:rPr>
          <w:rFonts w:cs="Arial"/>
          <w:b/>
          <w:bCs/>
          <w:noProof/>
          <w:color w:val="FFFFFF" w:themeColor="background1"/>
          <w:sz w:val="96"/>
          <w:szCs w:val="96"/>
        </w:rPr>
        <w:drawing>
          <wp:anchor distT="0" distB="0" distL="114300" distR="114300" simplePos="0" relativeHeight="251659265" behindDoc="1" locked="0" layoutInCell="1" allowOverlap="1" wp14:anchorId="38A463B1" wp14:editId="4EE32DBF">
            <wp:simplePos x="0" y="0"/>
            <wp:positionH relativeFrom="margin">
              <wp:posOffset>-751592</wp:posOffset>
            </wp:positionH>
            <wp:positionV relativeFrom="paragraph">
              <wp:posOffset>-927155</wp:posOffset>
            </wp:positionV>
            <wp:extent cx="3919993" cy="979781"/>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19993" cy="979781"/>
                    </a:xfrm>
                    <a:prstGeom prst="rect">
                      <a:avLst/>
                    </a:prstGeom>
                  </pic:spPr>
                </pic:pic>
              </a:graphicData>
            </a:graphic>
            <wp14:sizeRelH relativeFrom="margin">
              <wp14:pctWidth>0</wp14:pctWidth>
            </wp14:sizeRelH>
            <wp14:sizeRelV relativeFrom="margin">
              <wp14:pctHeight>0</wp14:pctHeight>
            </wp14:sizeRelV>
          </wp:anchor>
        </w:drawing>
      </w:r>
      <w:r w:rsidR="006F3496">
        <w:rPr>
          <w:rFonts w:cs="Arial"/>
          <w:b/>
          <w:bCs/>
          <w:color w:val="FFFFFF" w:themeColor="background1"/>
          <w:sz w:val="96"/>
          <w:szCs w:val="96"/>
        </w:rPr>
        <w:tab/>
      </w:r>
    </w:p>
    <w:p w14:paraId="556C46EA" w14:textId="2D938DBA" w:rsidR="00E23F7C" w:rsidRDefault="00B42752" w:rsidP="00E23F7C">
      <w:pPr>
        <w:autoSpaceDE w:val="0"/>
        <w:autoSpaceDN w:val="0"/>
        <w:adjustRightInd w:val="0"/>
        <w:spacing w:after="0" w:line="240" w:lineRule="auto"/>
        <w:rPr>
          <w:rFonts w:cs="Arial"/>
          <w:b/>
          <w:bCs/>
          <w:color w:val="FFFFFF" w:themeColor="background1"/>
          <w:sz w:val="56"/>
          <w:szCs w:val="56"/>
        </w:rPr>
      </w:pPr>
      <w:r w:rsidRPr="00B3099D">
        <w:rPr>
          <w:rFonts w:cs="Arial"/>
          <w:b/>
          <w:bCs/>
          <w:color w:val="FFFFFF" w:themeColor="background1"/>
          <w:sz w:val="56"/>
          <w:szCs w:val="56"/>
        </w:rPr>
        <w:t>Procedur</w:t>
      </w:r>
      <w:r w:rsidR="00F204BB" w:rsidRPr="00B3099D">
        <w:rPr>
          <w:rFonts w:cs="Arial"/>
          <w:b/>
          <w:bCs/>
          <w:color w:val="FFFFFF" w:themeColor="background1"/>
          <w:sz w:val="56"/>
          <w:szCs w:val="56"/>
        </w:rPr>
        <w:t>e</w:t>
      </w:r>
      <w:r w:rsidR="00BD7CF5">
        <w:rPr>
          <w:rFonts w:cs="Arial"/>
          <w:b/>
          <w:bCs/>
          <w:color w:val="FFFFFF" w:themeColor="background1"/>
          <w:sz w:val="56"/>
          <w:szCs w:val="56"/>
        </w:rPr>
        <w:t>s</w:t>
      </w:r>
      <w:r w:rsidRPr="00B3099D">
        <w:rPr>
          <w:rFonts w:cs="Arial"/>
          <w:b/>
          <w:bCs/>
          <w:color w:val="FFFFFF" w:themeColor="background1"/>
          <w:sz w:val="56"/>
          <w:szCs w:val="56"/>
        </w:rPr>
        <w:t xml:space="preserve"> for determining</w:t>
      </w:r>
      <w:r w:rsidR="00F204BB" w:rsidRPr="00B3099D">
        <w:rPr>
          <w:rFonts w:cs="Arial"/>
          <w:b/>
          <w:bCs/>
          <w:color w:val="FFFFFF" w:themeColor="background1"/>
          <w:sz w:val="56"/>
          <w:szCs w:val="56"/>
        </w:rPr>
        <w:t xml:space="preserve"> </w:t>
      </w:r>
      <w:r w:rsidR="00F204BB" w:rsidRPr="00B3099D">
        <w:rPr>
          <w:rFonts w:cs="Arial"/>
          <w:b/>
          <w:bCs/>
          <w:color w:val="FFFFFF" w:themeColor="background1"/>
          <w:sz w:val="56"/>
          <w:szCs w:val="56"/>
        </w:rPr>
        <w:br/>
        <w:t>breach</w:t>
      </w:r>
      <w:r w:rsidR="00E76617" w:rsidRPr="00B3099D">
        <w:rPr>
          <w:rFonts w:cs="Arial"/>
          <w:b/>
          <w:bCs/>
          <w:color w:val="FFFFFF" w:themeColor="background1"/>
          <w:sz w:val="56"/>
          <w:szCs w:val="56"/>
        </w:rPr>
        <w:t>es</w:t>
      </w:r>
      <w:r w:rsidR="00F204BB" w:rsidRPr="00B3099D">
        <w:rPr>
          <w:rFonts w:cs="Arial"/>
          <w:b/>
          <w:bCs/>
          <w:color w:val="FFFFFF" w:themeColor="background1"/>
          <w:sz w:val="56"/>
          <w:szCs w:val="56"/>
        </w:rPr>
        <w:t xml:space="preserve"> </w:t>
      </w:r>
      <w:r w:rsidRPr="00B3099D">
        <w:rPr>
          <w:rFonts w:cs="Arial"/>
          <w:b/>
          <w:bCs/>
          <w:color w:val="FFFFFF" w:themeColor="background1"/>
          <w:sz w:val="56"/>
          <w:szCs w:val="56"/>
        </w:rPr>
        <w:t xml:space="preserve">of the </w:t>
      </w:r>
      <w:r w:rsidR="00E76617" w:rsidRPr="00B3099D">
        <w:rPr>
          <w:rFonts w:cs="Arial"/>
          <w:b/>
          <w:bCs/>
          <w:color w:val="FFFFFF" w:themeColor="background1"/>
          <w:sz w:val="56"/>
          <w:szCs w:val="56"/>
        </w:rPr>
        <w:t xml:space="preserve">APS </w:t>
      </w:r>
      <w:r w:rsidRPr="00B3099D">
        <w:rPr>
          <w:rFonts w:cs="Arial"/>
          <w:b/>
          <w:bCs/>
          <w:color w:val="FFFFFF" w:themeColor="background1"/>
          <w:sz w:val="56"/>
          <w:szCs w:val="56"/>
        </w:rPr>
        <w:t>Code of Condu</w:t>
      </w:r>
      <w:r w:rsidR="00F204BB" w:rsidRPr="00B3099D">
        <w:rPr>
          <w:rFonts w:cs="Arial"/>
          <w:b/>
          <w:bCs/>
          <w:color w:val="FFFFFF" w:themeColor="background1"/>
          <w:sz w:val="56"/>
          <w:szCs w:val="56"/>
        </w:rPr>
        <w:t>ct</w:t>
      </w:r>
      <w:r w:rsidR="00E76617" w:rsidRPr="00B3099D">
        <w:rPr>
          <w:rFonts w:cs="Arial"/>
          <w:b/>
          <w:bCs/>
          <w:color w:val="FFFFFF" w:themeColor="background1"/>
          <w:sz w:val="56"/>
          <w:szCs w:val="56"/>
        </w:rPr>
        <w:t xml:space="preserve"> and for determining sanction</w:t>
      </w:r>
      <w:r w:rsidR="00B3099D">
        <w:rPr>
          <w:rFonts w:cs="Arial"/>
          <w:b/>
          <w:bCs/>
          <w:color w:val="FFFFFF" w:themeColor="background1"/>
          <w:sz w:val="56"/>
          <w:szCs w:val="56"/>
        </w:rPr>
        <w:t>s</w:t>
      </w:r>
      <w:r w:rsidR="00B3099D">
        <w:rPr>
          <w:rFonts w:cs="Arial"/>
          <w:b/>
          <w:bCs/>
          <w:color w:val="FFFFFF" w:themeColor="background1"/>
          <w:sz w:val="56"/>
          <w:szCs w:val="56"/>
        </w:rPr>
        <w:br/>
      </w:r>
    </w:p>
    <w:p w14:paraId="10B0F329" w14:textId="77777777" w:rsidR="003C3E61" w:rsidRPr="003C3E61" w:rsidRDefault="003C3E61" w:rsidP="00E23F7C">
      <w:pPr>
        <w:autoSpaceDE w:val="0"/>
        <w:autoSpaceDN w:val="0"/>
        <w:adjustRightInd w:val="0"/>
        <w:spacing w:after="0" w:line="240" w:lineRule="auto"/>
        <w:rPr>
          <w:rFonts w:cs="Arial"/>
          <w:b/>
          <w:bCs/>
          <w:color w:val="FFFFFF" w:themeColor="background1"/>
          <w:szCs w:val="22"/>
        </w:rPr>
      </w:pPr>
    </w:p>
    <w:p w14:paraId="5621960F" w14:textId="1591D23C" w:rsidR="00E23F7C" w:rsidRDefault="00B10001" w:rsidP="00E23F7C">
      <w:pPr>
        <w:rPr>
          <w:rFonts w:cs="Arial"/>
          <w:color w:val="FFFFFF" w:themeColor="background1"/>
          <w:sz w:val="40"/>
          <w:szCs w:val="44"/>
        </w:rPr>
      </w:pPr>
      <w:r>
        <w:rPr>
          <w:rFonts w:cs="Arial"/>
          <w:color w:val="FFFFFF" w:themeColor="background1"/>
          <w:sz w:val="40"/>
          <w:szCs w:val="44"/>
        </w:rPr>
        <w:t xml:space="preserve">Established </w:t>
      </w:r>
      <w:r w:rsidR="00E62A42">
        <w:rPr>
          <w:rFonts w:cs="Arial"/>
          <w:color w:val="FFFFFF" w:themeColor="background1"/>
          <w:sz w:val="40"/>
          <w:szCs w:val="44"/>
        </w:rPr>
        <w:t>under s</w:t>
      </w:r>
      <w:r w:rsidR="00F204BB">
        <w:rPr>
          <w:rFonts w:cs="Arial"/>
          <w:color w:val="FFFFFF" w:themeColor="background1"/>
          <w:sz w:val="40"/>
          <w:szCs w:val="44"/>
        </w:rPr>
        <w:t>ubs</w:t>
      </w:r>
      <w:r w:rsidR="00E62A42">
        <w:rPr>
          <w:rFonts w:cs="Arial"/>
          <w:color w:val="FFFFFF" w:themeColor="background1"/>
          <w:sz w:val="40"/>
          <w:szCs w:val="44"/>
        </w:rPr>
        <w:t>ection</w:t>
      </w:r>
      <w:r w:rsidR="00F204BB">
        <w:rPr>
          <w:rFonts w:cs="Arial"/>
          <w:color w:val="FFFFFF" w:themeColor="background1"/>
          <w:sz w:val="40"/>
          <w:szCs w:val="44"/>
        </w:rPr>
        <w:t xml:space="preserve"> 15(3) of the</w:t>
      </w:r>
      <w:r w:rsidR="00556CC2">
        <w:rPr>
          <w:rFonts w:cs="Arial"/>
          <w:color w:val="FFFFFF" w:themeColor="background1"/>
          <w:sz w:val="40"/>
          <w:szCs w:val="44"/>
        </w:rPr>
        <w:t xml:space="preserve"> </w:t>
      </w:r>
      <w:r w:rsidR="0099365B">
        <w:rPr>
          <w:rFonts w:cs="Arial"/>
          <w:color w:val="FFFFFF" w:themeColor="background1"/>
          <w:sz w:val="40"/>
          <w:szCs w:val="44"/>
        </w:rPr>
        <w:br/>
      </w:r>
      <w:r w:rsidR="00F204BB" w:rsidRPr="00F204BB">
        <w:rPr>
          <w:rFonts w:cs="Arial"/>
          <w:i/>
          <w:iCs/>
          <w:color w:val="FFFFFF" w:themeColor="background1"/>
          <w:sz w:val="40"/>
          <w:szCs w:val="44"/>
        </w:rPr>
        <w:t>Public Service Act 1999</w:t>
      </w:r>
    </w:p>
    <w:p w14:paraId="6186B196" w14:textId="77777777" w:rsidR="00E23F7C" w:rsidRPr="006835F3" w:rsidRDefault="00E23F7C" w:rsidP="00E23F7C">
      <w:pPr>
        <w:rPr>
          <w:rFonts w:cs="Arial"/>
          <w:color w:val="FFFFFF" w:themeColor="background1"/>
          <w:sz w:val="40"/>
          <w:szCs w:val="44"/>
        </w:rPr>
      </w:pPr>
    </w:p>
    <w:p w14:paraId="0757B62A" w14:textId="77777777" w:rsidR="00E23F7C" w:rsidRPr="00F040AD" w:rsidRDefault="00E23F7C" w:rsidP="00E23F7C">
      <w:pPr>
        <w:rPr>
          <w:rFonts w:cs="Arial"/>
          <w:color w:val="FFFFFF" w:themeColor="background1"/>
          <w:szCs w:val="22"/>
        </w:rPr>
      </w:pPr>
    </w:p>
    <w:p w14:paraId="4AF42799" w14:textId="77777777" w:rsidR="00E23F7C" w:rsidRPr="00F040AD" w:rsidRDefault="00E23F7C" w:rsidP="00E23F7C">
      <w:pPr>
        <w:rPr>
          <w:rFonts w:cs="Arial"/>
          <w:color w:val="FFFFFF" w:themeColor="background1"/>
          <w:szCs w:val="22"/>
        </w:rPr>
      </w:pPr>
    </w:p>
    <w:p w14:paraId="139FF738" w14:textId="115C7998" w:rsidR="00E23F7C" w:rsidRPr="00F040AD" w:rsidRDefault="00F204BB" w:rsidP="00E23F7C">
      <w:pPr>
        <w:rPr>
          <w:rFonts w:cs="Arial"/>
          <w:color w:val="FFFFFF" w:themeColor="background1"/>
          <w:sz w:val="40"/>
          <w:szCs w:val="44"/>
        </w:rPr>
      </w:pPr>
      <w:r>
        <w:rPr>
          <w:rFonts w:cs="Arial"/>
          <w:color w:val="FFFFFF" w:themeColor="background1"/>
          <w:sz w:val="40"/>
          <w:szCs w:val="44"/>
        </w:rPr>
        <w:t>October</w:t>
      </w:r>
      <w:r w:rsidR="00E23F7C">
        <w:rPr>
          <w:rFonts w:cs="Arial"/>
          <w:color w:val="FFFFFF" w:themeColor="background1"/>
          <w:sz w:val="40"/>
          <w:szCs w:val="44"/>
        </w:rPr>
        <w:t xml:space="preserve"> </w:t>
      </w:r>
      <w:r>
        <w:rPr>
          <w:rFonts w:cs="Arial"/>
          <w:color w:val="FFFFFF" w:themeColor="background1"/>
          <w:sz w:val="40"/>
          <w:szCs w:val="44"/>
        </w:rPr>
        <w:t>2023</w:t>
      </w:r>
    </w:p>
    <w:p w14:paraId="7ADBE2A0" w14:textId="77777777" w:rsidR="00E23F7C" w:rsidRPr="00D76B59" w:rsidRDefault="00E23F7C" w:rsidP="00E23F7C">
      <w:pPr>
        <w:rPr>
          <w:rFonts w:cs="Arial"/>
          <w:b/>
          <w:bCs/>
          <w:color w:val="FFFFFF" w:themeColor="background1"/>
          <w:sz w:val="96"/>
          <w:szCs w:val="96"/>
        </w:rPr>
      </w:pPr>
    </w:p>
    <w:p w14:paraId="609218AC" w14:textId="77777777" w:rsidR="00E23F7C" w:rsidRDefault="00E23F7C" w:rsidP="00E23F7C">
      <w:pPr>
        <w:rPr>
          <w:rFonts w:cs="Arial"/>
          <w:noProof/>
          <w:color w:val="59227A"/>
          <w:sz w:val="32"/>
          <w:szCs w:val="32"/>
        </w:rPr>
      </w:pPr>
    </w:p>
    <w:p w14:paraId="5FC964C3" w14:textId="77777777" w:rsidR="00E23F7C" w:rsidRDefault="00E23F7C" w:rsidP="00E23F7C">
      <w:pPr>
        <w:rPr>
          <w:rFonts w:cs="Arial"/>
          <w:noProof/>
          <w:color w:val="59227A"/>
          <w:sz w:val="32"/>
          <w:szCs w:val="32"/>
        </w:rPr>
      </w:pPr>
    </w:p>
    <w:p w14:paraId="4C2B645B" w14:textId="77777777" w:rsidR="00E23F7C" w:rsidRPr="007655C0" w:rsidRDefault="00E23F7C" w:rsidP="00E23F7C">
      <w:pPr>
        <w:rPr>
          <w:rFonts w:cs="Arial"/>
          <w:noProof/>
          <w:color w:val="59227A"/>
          <w:sz w:val="32"/>
          <w:szCs w:val="32"/>
        </w:rPr>
      </w:pPr>
    </w:p>
    <w:p w14:paraId="37B5D6E5" w14:textId="77777777" w:rsidR="00E23F7C" w:rsidRDefault="00E23F7C" w:rsidP="00E23F7C">
      <w:pPr>
        <w:rPr>
          <w:rFonts w:eastAsiaTheme="majorEastAsia" w:cs="Arial"/>
          <w:color w:val="77226C"/>
          <w:sz w:val="32"/>
          <w:szCs w:val="32"/>
        </w:rPr>
      </w:pPr>
      <w:r w:rsidRPr="009F0470">
        <w:rPr>
          <w:rFonts w:eastAsiaTheme="majorEastAsia" w:cs="Arial"/>
          <w:color w:val="77226C"/>
          <w:sz w:val="32"/>
          <w:szCs w:val="32"/>
        </w:rPr>
        <w:br w:type="page"/>
      </w:r>
    </w:p>
    <w:p w14:paraId="714DDF8D" w14:textId="4AFA08A9" w:rsidR="00AD74B3" w:rsidRDefault="005D715A" w:rsidP="005D715A">
      <w:pPr>
        <w:pStyle w:val="Heading2"/>
      </w:pPr>
      <w:bookmarkStart w:id="0" w:name="_Toc146796746"/>
      <w:bookmarkStart w:id="1" w:name="_Toc146881563"/>
      <w:bookmarkStart w:id="2" w:name="_Toc147240483"/>
      <w:bookmarkStart w:id="3" w:name="_Toc147914685"/>
      <w:bookmarkStart w:id="4" w:name="_Toc147920322"/>
      <w:bookmarkStart w:id="5" w:name="_Toc147933100"/>
      <w:bookmarkStart w:id="6" w:name="_Toc149551305"/>
      <w:r>
        <w:lastRenderedPageBreak/>
        <w:t>Document control</w:t>
      </w:r>
      <w:bookmarkEnd w:id="0"/>
      <w:bookmarkEnd w:id="1"/>
      <w:bookmarkEnd w:id="2"/>
      <w:bookmarkEnd w:id="3"/>
      <w:bookmarkEnd w:id="4"/>
      <w:bookmarkEnd w:id="5"/>
      <w:bookmarkEnd w:id="6"/>
    </w:p>
    <w:p w14:paraId="389EFF52" w14:textId="3825A065" w:rsidR="005D715A" w:rsidRPr="00E328D1" w:rsidRDefault="005D715A" w:rsidP="005D715A">
      <w:pPr>
        <w:rPr>
          <w:b/>
          <w:bCs/>
        </w:rPr>
      </w:pPr>
      <w:r w:rsidRPr="00E328D1">
        <w:rPr>
          <w:b/>
          <w:bCs/>
        </w:rPr>
        <w:t xml:space="preserve">Contact for enquiries and proposed </w:t>
      </w:r>
      <w:proofErr w:type="gramStart"/>
      <w:r w:rsidRPr="00E328D1">
        <w:rPr>
          <w:b/>
          <w:bCs/>
        </w:rPr>
        <w:t>changes</w:t>
      </w:r>
      <w:proofErr w:type="gramEnd"/>
    </w:p>
    <w:tbl>
      <w:tblPr>
        <w:tblStyle w:val="PlainTable2"/>
        <w:tblW w:w="0" w:type="auto"/>
        <w:tblLook w:val="04A0" w:firstRow="1" w:lastRow="0" w:firstColumn="1" w:lastColumn="0" w:noHBand="0" w:noVBand="1"/>
      </w:tblPr>
      <w:tblGrid>
        <w:gridCol w:w="2405"/>
        <w:gridCol w:w="6611"/>
      </w:tblGrid>
      <w:tr w:rsidR="00E328D1" w14:paraId="78B16083" w14:textId="77777777" w:rsidTr="00E328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6B1B2CB" w14:textId="7297CA2A" w:rsidR="00E328D1" w:rsidRDefault="00E328D1" w:rsidP="005D715A">
            <w:r>
              <w:t>Name</w:t>
            </w:r>
          </w:p>
        </w:tc>
        <w:tc>
          <w:tcPr>
            <w:tcW w:w="6611" w:type="dxa"/>
          </w:tcPr>
          <w:p w14:paraId="7A250157" w14:textId="47FFCAE5" w:rsidR="00E328D1" w:rsidRPr="003A2745" w:rsidRDefault="003A2745" w:rsidP="005D715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Brad Thomas</w:t>
            </w:r>
          </w:p>
        </w:tc>
      </w:tr>
      <w:tr w:rsidR="00E328D1" w14:paraId="13D1EE60" w14:textId="77777777" w:rsidTr="00E32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7D06FCF" w14:textId="45E3F816" w:rsidR="00E328D1" w:rsidRDefault="00E328D1" w:rsidP="005D715A">
            <w:r>
              <w:t>Phone</w:t>
            </w:r>
          </w:p>
        </w:tc>
        <w:tc>
          <w:tcPr>
            <w:tcW w:w="6611" w:type="dxa"/>
          </w:tcPr>
          <w:p w14:paraId="225E3989" w14:textId="76EB47B9" w:rsidR="00E328D1" w:rsidRDefault="003A2745" w:rsidP="005D715A">
            <w:pPr>
              <w:cnfStyle w:val="000000100000" w:firstRow="0" w:lastRow="0" w:firstColumn="0" w:lastColumn="0" w:oddVBand="0" w:evenVBand="0" w:oddHBand="1" w:evenHBand="0" w:firstRowFirstColumn="0" w:firstRowLastColumn="0" w:lastRowFirstColumn="0" w:lastRowLastColumn="0"/>
            </w:pPr>
            <w:r>
              <w:t xml:space="preserve">02 6289 </w:t>
            </w:r>
            <w:r w:rsidR="00302B43">
              <w:t>8934</w:t>
            </w:r>
          </w:p>
        </w:tc>
      </w:tr>
      <w:tr w:rsidR="00E328D1" w14:paraId="62714FC2" w14:textId="77777777" w:rsidTr="00E328D1">
        <w:tc>
          <w:tcPr>
            <w:cnfStyle w:val="001000000000" w:firstRow="0" w:lastRow="0" w:firstColumn="1" w:lastColumn="0" w:oddVBand="0" w:evenVBand="0" w:oddHBand="0" w:evenHBand="0" w:firstRowFirstColumn="0" w:firstRowLastColumn="0" w:lastRowFirstColumn="0" w:lastRowLastColumn="0"/>
            <w:tcW w:w="2405" w:type="dxa"/>
          </w:tcPr>
          <w:p w14:paraId="77B295CA" w14:textId="0691611C" w:rsidR="00E328D1" w:rsidRDefault="00E328D1" w:rsidP="005D715A">
            <w:r>
              <w:t>Location</w:t>
            </w:r>
          </w:p>
        </w:tc>
        <w:tc>
          <w:tcPr>
            <w:tcW w:w="6611" w:type="dxa"/>
          </w:tcPr>
          <w:p w14:paraId="19295A13" w14:textId="270BE92C" w:rsidR="00E328D1" w:rsidRDefault="009A0389" w:rsidP="005D715A">
            <w:pPr>
              <w:cnfStyle w:val="000000000000" w:firstRow="0" w:lastRow="0" w:firstColumn="0" w:lastColumn="0" w:oddVBand="0" w:evenVBand="0" w:oddHBand="0" w:evenHBand="0" w:firstRowFirstColumn="0" w:firstRowLastColumn="0" w:lastRowFirstColumn="0" w:lastRowLastColumn="0"/>
            </w:pPr>
            <w:r>
              <w:t>Level 14, 1 Atlantic St, Phillip ACT 2612</w:t>
            </w:r>
          </w:p>
        </w:tc>
      </w:tr>
    </w:tbl>
    <w:p w14:paraId="46ACE5FA" w14:textId="77777777" w:rsidR="00E328D1" w:rsidRDefault="00E328D1" w:rsidP="005D715A"/>
    <w:p w14:paraId="162B0057" w14:textId="24F0C7C2" w:rsidR="005D715A" w:rsidRPr="00010922" w:rsidRDefault="005D715A" w:rsidP="005D715A">
      <w:pPr>
        <w:rPr>
          <w:b/>
          <w:bCs/>
        </w:rPr>
      </w:pPr>
      <w:r w:rsidRPr="00010922">
        <w:rPr>
          <w:b/>
          <w:bCs/>
        </w:rPr>
        <w:t>Record of endorsement</w:t>
      </w:r>
    </w:p>
    <w:tbl>
      <w:tblPr>
        <w:tblStyle w:val="PlainTable2"/>
        <w:tblW w:w="0" w:type="auto"/>
        <w:tblLook w:val="04A0" w:firstRow="1" w:lastRow="0" w:firstColumn="1" w:lastColumn="0" w:noHBand="0" w:noVBand="1"/>
      </w:tblPr>
      <w:tblGrid>
        <w:gridCol w:w="1716"/>
        <w:gridCol w:w="3822"/>
        <w:gridCol w:w="3488"/>
      </w:tblGrid>
      <w:tr w:rsidR="009A0389" w14:paraId="215A8797" w14:textId="142171CE" w:rsidTr="009A03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0FE0305A" w14:textId="3D8FF4EB" w:rsidR="009A0389" w:rsidRDefault="009A0389" w:rsidP="00E03B8C">
            <w:r>
              <w:t>Status</w:t>
            </w:r>
          </w:p>
        </w:tc>
        <w:tc>
          <w:tcPr>
            <w:tcW w:w="3822" w:type="dxa"/>
          </w:tcPr>
          <w:p w14:paraId="26ABA15F" w14:textId="6739EF2A" w:rsidR="009A0389" w:rsidRDefault="009A0389" w:rsidP="00E03B8C">
            <w:pPr>
              <w:cnfStyle w:val="100000000000" w:firstRow="1" w:lastRow="0" w:firstColumn="0" w:lastColumn="0" w:oddVBand="0" w:evenVBand="0" w:oddHBand="0" w:evenHBand="0" w:firstRowFirstColumn="0" w:firstRowLastColumn="0" w:lastRowFirstColumn="0" w:lastRowLastColumn="0"/>
            </w:pPr>
            <w:r>
              <w:t>Name</w:t>
            </w:r>
          </w:p>
        </w:tc>
        <w:tc>
          <w:tcPr>
            <w:tcW w:w="3488" w:type="dxa"/>
          </w:tcPr>
          <w:p w14:paraId="62179A97" w14:textId="655F860A" w:rsidR="009A0389" w:rsidRDefault="009A0389" w:rsidP="00E03B8C">
            <w:pPr>
              <w:cnfStyle w:val="100000000000" w:firstRow="1" w:lastRow="0" w:firstColumn="0" w:lastColumn="0" w:oddVBand="0" w:evenVBand="0" w:oddHBand="0" w:evenHBand="0" w:firstRowFirstColumn="0" w:firstRowLastColumn="0" w:lastRowFirstColumn="0" w:lastRowLastColumn="0"/>
            </w:pPr>
            <w:r>
              <w:t>Date</w:t>
            </w:r>
          </w:p>
        </w:tc>
      </w:tr>
      <w:tr w:rsidR="009A0389" w14:paraId="65713C86" w14:textId="74421B63" w:rsidTr="009A0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291069AC" w14:textId="0D8EBADD" w:rsidR="009A0389" w:rsidRPr="009A0389" w:rsidRDefault="009A0389" w:rsidP="00E03B8C">
            <w:pPr>
              <w:rPr>
                <w:b w:val="0"/>
                <w:bCs w:val="0"/>
              </w:rPr>
            </w:pPr>
            <w:r>
              <w:rPr>
                <w:b w:val="0"/>
                <w:bCs w:val="0"/>
              </w:rPr>
              <w:t>Draft</w:t>
            </w:r>
          </w:p>
        </w:tc>
        <w:tc>
          <w:tcPr>
            <w:tcW w:w="3822" w:type="dxa"/>
          </w:tcPr>
          <w:p w14:paraId="75B2BFB3" w14:textId="00F0ED1A" w:rsidR="009A0389" w:rsidRDefault="009A0389" w:rsidP="00E03B8C">
            <w:pPr>
              <w:cnfStyle w:val="000000100000" w:firstRow="0" w:lastRow="0" w:firstColumn="0" w:lastColumn="0" w:oddVBand="0" w:evenVBand="0" w:oddHBand="1" w:evenHBand="0" w:firstRowFirstColumn="0" w:firstRowLastColumn="0" w:lastRowFirstColumn="0" w:lastRowLastColumn="0"/>
            </w:pPr>
            <w:r>
              <w:t xml:space="preserve">Tomislav </w:t>
            </w:r>
            <w:proofErr w:type="spellStart"/>
            <w:r>
              <w:t>Kesina</w:t>
            </w:r>
            <w:proofErr w:type="spellEnd"/>
          </w:p>
        </w:tc>
        <w:tc>
          <w:tcPr>
            <w:tcW w:w="3488" w:type="dxa"/>
          </w:tcPr>
          <w:p w14:paraId="27218EC4" w14:textId="643FA028" w:rsidR="009A0389" w:rsidRDefault="009A0389" w:rsidP="00E03B8C">
            <w:pPr>
              <w:cnfStyle w:val="000000100000" w:firstRow="0" w:lastRow="0" w:firstColumn="0" w:lastColumn="0" w:oddVBand="0" w:evenVBand="0" w:oddHBand="1" w:evenHBand="0" w:firstRowFirstColumn="0" w:firstRowLastColumn="0" w:lastRowFirstColumn="0" w:lastRowLastColumn="0"/>
            </w:pPr>
            <w:r>
              <w:t>28</w:t>
            </w:r>
            <w:r w:rsidR="00010922">
              <w:t>/</w:t>
            </w:r>
            <w:r w:rsidR="0010677F">
              <w:t>09</w:t>
            </w:r>
            <w:r w:rsidR="00010922">
              <w:t>/</w:t>
            </w:r>
            <w:r>
              <w:t>2023</w:t>
            </w:r>
          </w:p>
        </w:tc>
      </w:tr>
      <w:tr w:rsidR="009A0389" w14:paraId="3DB31DAD" w14:textId="2F2E60D0" w:rsidTr="009A0389">
        <w:tc>
          <w:tcPr>
            <w:cnfStyle w:val="001000000000" w:firstRow="0" w:lastRow="0" w:firstColumn="1" w:lastColumn="0" w:oddVBand="0" w:evenVBand="0" w:oddHBand="0" w:evenHBand="0" w:firstRowFirstColumn="0" w:firstRowLastColumn="0" w:lastRowFirstColumn="0" w:lastRowLastColumn="0"/>
            <w:tcW w:w="1716" w:type="dxa"/>
          </w:tcPr>
          <w:p w14:paraId="442BBC51" w14:textId="037033A2" w:rsidR="009A0389" w:rsidRPr="00302B43" w:rsidRDefault="00302B43" w:rsidP="00E03B8C">
            <w:pPr>
              <w:rPr>
                <w:b w:val="0"/>
                <w:bCs w:val="0"/>
                <w:i/>
                <w:iCs/>
                <w:color w:val="FF0000"/>
              </w:rPr>
            </w:pPr>
            <w:r w:rsidRPr="00302B43">
              <w:rPr>
                <w:b w:val="0"/>
                <w:bCs w:val="0"/>
                <w:i/>
                <w:iCs/>
                <w:color w:val="FF0000"/>
              </w:rPr>
              <w:t>Approved</w:t>
            </w:r>
          </w:p>
        </w:tc>
        <w:tc>
          <w:tcPr>
            <w:tcW w:w="3822" w:type="dxa"/>
          </w:tcPr>
          <w:p w14:paraId="5CE44EE2" w14:textId="4950F2E8" w:rsidR="009A0389" w:rsidRPr="00302B43" w:rsidRDefault="00302B43" w:rsidP="00E03B8C">
            <w:pPr>
              <w:cnfStyle w:val="000000000000" w:firstRow="0" w:lastRow="0" w:firstColumn="0" w:lastColumn="0" w:oddVBand="0" w:evenVBand="0" w:oddHBand="0" w:evenHBand="0" w:firstRowFirstColumn="0" w:firstRowLastColumn="0" w:lastRowFirstColumn="0" w:lastRowLastColumn="0"/>
              <w:rPr>
                <w:i/>
                <w:iCs/>
                <w:color w:val="FF0000"/>
              </w:rPr>
            </w:pPr>
            <w:r w:rsidRPr="00302B43">
              <w:rPr>
                <w:i/>
                <w:iCs/>
                <w:color w:val="FF0000"/>
              </w:rPr>
              <w:t>Ian Yates AM</w:t>
            </w:r>
          </w:p>
        </w:tc>
        <w:tc>
          <w:tcPr>
            <w:tcW w:w="3488" w:type="dxa"/>
          </w:tcPr>
          <w:p w14:paraId="2144E87A" w14:textId="74647D8A" w:rsidR="009A0389" w:rsidRPr="00302B43" w:rsidRDefault="00302B43" w:rsidP="00E03B8C">
            <w:pPr>
              <w:cnfStyle w:val="000000000000" w:firstRow="0" w:lastRow="0" w:firstColumn="0" w:lastColumn="0" w:oddVBand="0" w:evenVBand="0" w:oddHBand="0" w:evenHBand="0" w:firstRowFirstColumn="0" w:firstRowLastColumn="0" w:lastRowFirstColumn="0" w:lastRowLastColumn="0"/>
              <w:rPr>
                <w:i/>
                <w:iCs/>
                <w:color w:val="FF0000"/>
              </w:rPr>
            </w:pPr>
            <w:r w:rsidRPr="00302B43">
              <w:rPr>
                <w:i/>
                <w:iCs/>
                <w:color w:val="FF0000"/>
              </w:rPr>
              <w:t>16/10/2023</w:t>
            </w:r>
          </w:p>
        </w:tc>
      </w:tr>
    </w:tbl>
    <w:p w14:paraId="0EE22E8C" w14:textId="77777777" w:rsidR="009A0389" w:rsidRDefault="009A0389" w:rsidP="005D715A"/>
    <w:p w14:paraId="6DB7E297" w14:textId="427EA08E" w:rsidR="005D715A" w:rsidRPr="00010922" w:rsidRDefault="005D715A" w:rsidP="005D715A">
      <w:pPr>
        <w:rPr>
          <w:b/>
          <w:bCs/>
        </w:rPr>
      </w:pPr>
      <w:r w:rsidRPr="00010922">
        <w:rPr>
          <w:b/>
          <w:bCs/>
        </w:rPr>
        <w:t>Record of amendments</w:t>
      </w:r>
    </w:p>
    <w:tbl>
      <w:tblPr>
        <w:tblStyle w:val="PlainTable2"/>
        <w:tblW w:w="0" w:type="auto"/>
        <w:tblLook w:val="04A0" w:firstRow="1" w:lastRow="0" w:firstColumn="1" w:lastColumn="0" w:noHBand="0" w:noVBand="1"/>
      </w:tblPr>
      <w:tblGrid>
        <w:gridCol w:w="1267"/>
        <w:gridCol w:w="2243"/>
        <w:gridCol w:w="2206"/>
        <w:gridCol w:w="1655"/>
        <w:gridCol w:w="1655"/>
      </w:tblGrid>
      <w:tr w:rsidR="009A0389" w14:paraId="2647D4F8" w14:textId="6D7E1476" w:rsidTr="009A03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2D6DB7A2" w14:textId="3872A026" w:rsidR="009A0389" w:rsidRDefault="009A0389" w:rsidP="00E03B8C">
            <w:r>
              <w:t>Version</w:t>
            </w:r>
          </w:p>
        </w:tc>
        <w:tc>
          <w:tcPr>
            <w:tcW w:w="2243" w:type="dxa"/>
          </w:tcPr>
          <w:p w14:paraId="652A92B2" w14:textId="306D6F90" w:rsidR="009A0389" w:rsidRDefault="009A0389" w:rsidP="00E03B8C">
            <w:pPr>
              <w:cnfStyle w:val="100000000000" w:firstRow="1" w:lastRow="0" w:firstColumn="0" w:lastColumn="0" w:oddVBand="0" w:evenVBand="0" w:oddHBand="0" w:evenHBand="0" w:firstRowFirstColumn="0" w:firstRowLastColumn="0" w:lastRowFirstColumn="0" w:lastRowLastColumn="0"/>
            </w:pPr>
            <w:r>
              <w:t>Author</w:t>
            </w:r>
          </w:p>
        </w:tc>
        <w:tc>
          <w:tcPr>
            <w:tcW w:w="2206" w:type="dxa"/>
          </w:tcPr>
          <w:p w14:paraId="2D4AB67E" w14:textId="77777777" w:rsidR="009A0389" w:rsidRDefault="009A0389" w:rsidP="00E03B8C">
            <w:pPr>
              <w:cnfStyle w:val="100000000000" w:firstRow="1" w:lastRow="0" w:firstColumn="0" w:lastColumn="0" w:oddVBand="0" w:evenVBand="0" w:oddHBand="0" w:evenHBand="0" w:firstRowFirstColumn="0" w:firstRowLastColumn="0" w:lastRowFirstColumn="0" w:lastRowLastColumn="0"/>
            </w:pPr>
            <w:r>
              <w:t>Date</w:t>
            </w:r>
          </w:p>
        </w:tc>
        <w:tc>
          <w:tcPr>
            <w:tcW w:w="1655" w:type="dxa"/>
          </w:tcPr>
          <w:p w14:paraId="2B21668D" w14:textId="1FA7989D" w:rsidR="009A0389" w:rsidRDefault="009A0389" w:rsidP="00E03B8C">
            <w:pPr>
              <w:cnfStyle w:val="100000000000" w:firstRow="1" w:lastRow="0" w:firstColumn="0" w:lastColumn="0" w:oddVBand="0" w:evenVBand="0" w:oddHBand="0" w:evenHBand="0" w:firstRowFirstColumn="0" w:firstRowLastColumn="0" w:lastRowFirstColumn="0" w:lastRowLastColumn="0"/>
            </w:pPr>
            <w:r>
              <w:t xml:space="preserve">Review </w:t>
            </w:r>
            <w:r w:rsidR="0010677F">
              <w:t>Date</w:t>
            </w:r>
          </w:p>
        </w:tc>
        <w:tc>
          <w:tcPr>
            <w:tcW w:w="1655" w:type="dxa"/>
          </w:tcPr>
          <w:p w14:paraId="18E3EE47" w14:textId="4711EDC2" w:rsidR="009A0389" w:rsidRDefault="0010677F" w:rsidP="00E03B8C">
            <w:pPr>
              <w:cnfStyle w:val="100000000000" w:firstRow="1" w:lastRow="0" w:firstColumn="0" w:lastColumn="0" w:oddVBand="0" w:evenVBand="0" w:oddHBand="0" w:evenHBand="0" w:firstRowFirstColumn="0" w:firstRowLastColumn="0" w:lastRowFirstColumn="0" w:lastRowLastColumn="0"/>
            </w:pPr>
            <w:r>
              <w:t>Comments</w:t>
            </w:r>
          </w:p>
        </w:tc>
      </w:tr>
      <w:tr w:rsidR="009A0389" w14:paraId="68B6F9FE" w14:textId="338F6804" w:rsidTr="009A0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2CC1F5BA" w14:textId="7EC1B4E3" w:rsidR="009A0389" w:rsidRPr="009A0389" w:rsidRDefault="0010677F" w:rsidP="00E03B8C">
            <w:pPr>
              <w:rPr>
                <w:b w:val="0"/>
                <w:bCs w:val="0"/>
              </w:rPr>
            </w:pPr>
            <w:r>
              <w:rPr>
                <w:b w:val="0"/>
                <w:bCs w:val="0"/>
              </w:rPr>
              <w:t>0.1</w:t>
            </w:r>
          </w:p>
        </w:tc>
        <w:tc>
          <w:tcPr>
            <w:tcW w:w="2243" w:type="dxa"/>
          </w:tcPr>
          <w:p w14:paraId="27FCACED" w14:textId="77777777" w:rsidR="009A0389" w:rsidRDefault="009A0389" w:rsidP="00E03B8C">
            <w:pPr>
              <w:cnfStyle w:val="000000100000" w:firstRow="0" w:lastRow="0" w:firstColumn="0" w:lastColumn="0" w:oddVBand="0" w:evenVBand="0" w:oddHBand="1" w:evenHBand="0" w:firstRowFirstColumn="0" w:firstRowLastColumn="0" w:lastRowFirstColumn="0" w:lastRowLastColumn="0"/>
            </w:pPr>
            <w:r>
              <w:t xml:space="preserve">Tomislav </w:t>
            </w:r>
            <w:proofErr w:type="spellStart"/>
            <w:r>
              <w:t>Kesina</w:t>
            </w:r>
            <w:proofErr w:type="spellEnd"/>
          </w:p>
        </w:tc>
        <w:tc>
          <w:tcPr>
            <w:tcW w:w="2206" w:type="dxa"/>
          </w:tcPr>
          <w:p w14:paraId="2382B719" w14:textId="3228E9A9" w:rsidR="009A0389" w:rsidRDefault="009A0389" w:rsidP="00E03B8C">
            <w:pPr>
              <w:cnfStyle w:val="000000100000" w:firstRow="0" w:lastRow="0" w:firstColumn="0" w:lastColumn="0" w:oddVBand="0" w:evenVBand="0" w:oddHBand="1" w:evenHBand="0" w:firstRowFirstColumn="0" w:firstRowLastColumn="0" w:lastRowFirstColumn="0" w:lastRowLastColumn="0"/>
            </w:pPr>
            <w:r>
              <w:t>28</w:t>
            </w:r>
            <w:r w:rsidR="0010677F">
              <w:t>/</w:t>
            </w:r>
            <w:r w:rsidR="00010922">
              <w:t>09</w:t>
            </w:r>
            <w:r w:rsidR="0010677F">
              <w:t>/</w:t>
            </w:r>
            <w:r>
              <w:t>2023</w:t>
            </w:r>
          </w:p>
        </w:tc>
        <w:tc>
          <w:tcPr>
            <w:tcW w:w="1655" w:type="dxa"/>
          </w:tcPr>
          <w:p w14:paraId="0BAB29BA" w14:textId="63A26EB1" w:rsidR="009A0389" w:rsidRDefault="00010922" w:rsidP="00E03B8C">
            <w:pPr>
              <w:cnfStyle w:val="000000100000" w:firstRow="0" w:lastRow="0" w:firstColumn="0" w:lastColumn="0" w:oddVBand="0" w:evenVBand="0" w:oddHBand="1" w:evenHBand="0" w:firstRowFirstColumn="0" w:firstRowLastColumn="0" w:lastRowFirstColumn="0" w:lastRowLastColumn="0"/>
            </w:pPr>
            <w:r>
              <w:t>N/A</w:t>
            </w:r>
          </w:p>
        </w:tc>
        <w:tc>
          <w:tcPr>
            <w:tcW w:w="1655" w:type="dxa"/>
          </w:tcPr>
          <w:p w14:paraId="1F9636B9" w14:textId="1D2BE60F" w:rsidR="009A0389" w:rsidRDefault="00010922" w:rsidP="00E03B8C">
            <w:pPr>
              <w:cnfStyle w:val="000000100000" w:firstRow="0" w:lastRow="0" w:firstColumn="0" w:lastColumn="0" w:oddVBand="0" w:evenVBand="0" w:oddHBand="1" w:evenHBand="0" w:firstRowFirstColumn="0" w:firstRowLastColumn="0" w:lastRowFirstColumn="0" w:lastRowLastColumn="0"/>
            </w:pPr>
            <w:r>
              <w:t>In draft</w:t>
            </w:r>
          </w:p>
        </w:tc>
      </w:tr>
      <w:tr w:rsidR="009A0389" w14:paraId="64EC70B2" w14:textId="6C10DFB2" w:rsidTr="009A0389">
        <w:tc>
          <w:tcPr>
            <w:cnfStyle w:val="001000000000" w:firstRow="0" w:lastRow="0" w:firstColumn="1" w:lastColumn="0" w:oddVBand="0" w:evenVBand="0" w:oddHBand="0" w:evenHBand="0" w:firstRowFirstColumn="0" w:firstRowLastColumn="0" w:lastRowFirstColumn="0" w:lastRowLastColumn="0"/>
            <w:tcW w:w="1267" w:type="dxa"/>
          </w:tcPr>
          <w:p w14:paraId="4EA18327" w14:textId="2B2BFE67" w:rsidR="009A0389" w:rsidRPr="00A502DF" w:rsidRDefault="00302B43" w:rsidP="00E03B8C">
            <w:pPr>
              <w:rPr>
                <w:b w:val="0"/>
                <w:bCs w:val="0"/>
                <w:i/>
                <w:iCs/>
                <w:color w:val="FF0000"/>
              </w:rPr>
            </w:pPr>
            <w:r w:rsidRPr="00A502DF">
              <w:rPr>
                <w:b w:val="0"/>
                <w:bCs w:val="0"/>
                <w:i/>
                <w:iCs/>
                <w:color w:val="FF0000"/>
              </w:rPr>
              <w:t xml:space="preserve">1.0 </w:t>
            </w:r>
          </w:p>
        </w:tc>
        <w:tc>
          <w:tcPr>
            <w:tcW w:w="2243" w:type="dxa"/>
          </w:tcPr>
          <w:p w14:paraId="25314F01" w14:textId="48DD3497" w:rsidR="009A0389" w:rsidRPr="00A502DF" w:rsidRDefault="00302B43" w:rsidP="00E03B8C">
            <w:pPr>
              <w:cnfStyle w:val="000000000000" w:firstRow="0" w:lastRow="0" w:firstColumn="0" w:lastColumn="0" w:oddVBand="0" w:evenVBand="0" w:oddHBand="0" w:evenHBand="0" w:firstRowFirstColumn="0" w:firstRowLastColumn="0" w:lastRowFirstColumn="0" w:lastRowLastColumn="0"/>
              <w:rPr>
                <w:i/>
                <w:iCs/>
                <w:color w:val="FF0000"/>
              </w:rPr>
            </w:pPr>
            <w:r w:rsidRPr="00A502DF">
              <w:rPr>
                <w:i/>
                <w:iCs/>
                <w:color w:val="FF0000"/>
              </w:rPr>
              <w:t xml:space="preserve">Tomislav </w:t>
            </w:r>
            <w:proofErr w:type="spellStart"/>
            <w:r w:rsidRPr="00A502DF">
              <w:rPr>
                <w:i/>
                <w:iCs/>
                <w:color w:val="FF0000"/>
              </w:rPr>
              <w:t>Kesina</w:t>
            </w:r>
            <w:proofErr w:type="spellEnd"/>
          </w:p>
        </w:tc>
        <w:tc>
          <w:tcPr>
            <w:tcW w:w="2206" w:type="dxa"/>
          </w:tcPr>
          <w:p w14:paraId="6FB0990D" w14:textId="466C586C" w:rsidR="009A0389" w:rsidRPr="00A502DF" w:rsidRDefault="00302B43" w:rsidP="00E03B8C">
            <w:pPr>
              <w:cnfStyle w:val="000000000000" w:firstRow="0" w:lastRow="0" w:firstColumn="0" w:lastColumn="0" w:oddVBand="0" w:evenVBand="0" w:oddHBand="0" w:evenHBand="0" w:firstRowFirstColumn="0" w:firstRowLastColumn="0" w:lastRowFirstColumn="0" w:lastRowLastColumn="0"/>
              <w:rPr>
                <w:i/>
                <w:iCs/>
                <w:color w:val="FF0000"/>
              </w:rPr>
            </w:pPr>
            <w:r w:rsidRPr="00A502DF">
              <w:rPr>
                <w:i/>
                <w:iCs/>
                <w:color w:val="FF0000"/>
              </w:rPr>
              <w:t>16/10/2023</w:t>
            </w:r>
          </w:p>
        </w:tc>
        <w:tc>
          <w:tcPr>
            <w:tcW w:w="1655" w:type="dxa"/>
          </w:tcPr>
          <w:p w14:paraId="18838F6A" w14:textId="2CE6B69A" w:rsidR="009A0389" w:rsidRPr="00A502DF" w:rsidRDefault="00A502DF" w:rsidP="00E03B8C">
            <w:pPr>
              <w:cnfStyle w:val="000000000000" w:firstRow="0" w:lastRow="0" w:firstColumn="0" w:lastColumn="0" w:oddVBand="0" w:evenVBand="0" w:oddHBand="0" w:evenHBand="0" w:firstRowFirstColumn="0" w:firstRowLastColumn="0" w:lastRowFirstColumn="0" w:lastRowLastColumn="0"/>
              <w:rPr>
                <w:i/>
                <w:iCs/>
                <w:color w:val="FF0000"/>
              </w:rPr>
            </w:pPr>
            <w:r w:rsidRPr="00A502DF">
              <w:rPr>
                <w:i/>
                <w:iCs/>
                <w:color w:val="FF0000"/>
              </w:rPr>
              <w:t>16/10/2026</w:t>
            </w:r>
          </w:p>
        </w:tc>
        <w:tc>
          <w:tcPr>
            <w:tcW w:w="1655" w:type="dxa"/>
          </w:tcPr>
          <w:p w14:paraId="5E62927E" w14:textId="7EACD8A2" w:rsidR="009A0389" w:rsidRPr="00A502DF" w:rsidRDefault="00A502DF" w:rsidP="00E03B8C">
            <w:pPr>
              <w:cnfStyle w:val="000000000000" w:firstRow="0" w:lastRow="0" w:firstColumn="0" w:lastColumn="0" w:oddVBand="0" w:evenVBand="0" w:oddHBand="0" w:evenHBand="0" w:firstRowFirstColumn="0" w:firstRowLastColumn="0" w:lastRowFirstColumn="0" w:lastRowLastColumn="0"/>
              <w:rPr>
                <w:i/>
                <w:iCs/>
                <w:color w:val="FF0000"/>
              </w:rPr>
            </w:pPr>
            <w:r w:rsidRPr="00A502DF">
              <w:rPr>
                <w:i/>
                <w:iCs/>
                <w:color w:val="FF0000"/>
              </w:rPr>
              <w:t xml:space="preserve">Initial version </w:t>
            </w:r>
          </w:p>
        </w:tc>
      </w:tr>
    </w:tbl>
    <w:p w14:paraId="73CA2802" w14:textId="58CE7A08" w:rsidR="00010922" w:rsidRDefault="00010922" w:rsidP="005D715A">
      <w:r>
        <w:br w:type="page"/>
      </w:r>
    </w:p>
    <w:sdt>
      <w:sdtPr>
        <w:rPr>
          <w:rFonts w:asciiTheme="minorHAnsi" w:eastAsiaTheme="minorHAnsi" w:hAnsiTheme="minorHAnsi" w:cs="Times New Roman"/>
          <w:color w:val="auto"/>
          <w:sz w:val="22"/>
          <w:szCs w:val="24"/>
          <w:lang w:val="en-AU"/>
        </w:rPr>
        <w:id w:val="76793199"/>
        <w:docPartObj>
          <w:docPartGallery w:val="Table of Contents"/>
          <w:docPartUnique/>
        </w:docPartObj>
      </w:sdtPr>
      <w:sdtEndPr>
        <w:rPr>
          <w:b/>
          <w:bCs/>
          <w:noProof/>
        </w:rPr>
      </w:sdtEndPr>
      <w:sdtContent>
        <w:p w14:paraId="184080B4" w14:textId="77777777" w:rsidR="007E0ED8" w:rsidRDefault="00CB3C02" w:rsidP="00374314">
          <w:pPr>
            <w:pStyle w:val="TOCHeading"/>
            <w:spacing w:after="360"/>
            <w:rPr>
              <w:noProof/>
            </w:rPr>
          </w:pPr>
          <w:r w:rsidRPr="0089358C">
            <w:rPr>
              <w:rStyle w:val="Heading2Char"/>
            </w:rPr>
            <w:t>Contents</w:t>
          </w:r>
          <w:r>
            <w:fldChar w:fldCharType="begin"/>
          </w:r>
          <w:r>
            <w:instrText xml:space="preserve"> TOC \o "1-3" \h \z \u </w:instrText>
          </w:r>
          <w:r>
            <w:fldChar w:fldCharType="separate"/>
          </w:r>
        </w:p>
        <w:p w14:paraId="7D963FAC" w14:textId="67CBD658" w:rsidR="007E0ED8" w:rsidRDefault="007A4F44">
          <w:pPr>
            <w:pStyle w:val="TOC2"/>
            <w:tabs>
              <w:tab w:val="right" w:leader="dot" w:pos="9016"/>
            </w:tabs>
            <w:rPr>
              <w:rFonts w:eastAsiaTheme="minorEastAsia" w:cstheme="minorBidi"/>
              <w:noProof/>
              <w:szCs w:val="22"/>
              <w:lang w:eastAsia="en-AU"/>
            </w:rPr>
          </w:pPr>
          <w:hyperlink w:anchor="_Toc149551305" w:history="1">
            <w:r w:rsidR="007E0ED8" w:rsidRPr="000B6D3A">
              <w:rPr>
                <w:rStyle w:val="Hyperlink"/>
                <w:noProof/>
              </w:rPr>
              <w:t>Document control</w:t>
            </w:r>
            <w:r w:rsidR="007E0ED8">
              <w:rPr>
                <w:noProof/>
                <w:webHidden/>
              </w:rPr>
              <w:tab/>
            </w:r>
            <w:r w:rsidR="007E0ED8">
              <w:rPr>
                <w:noProof/>
                <w:webHidden/>
              </w:rPr>
              <w:fldChar w:fldCharType="begin"/>
            </w:r>
            <w:r w:rsidR="007E0ED8">
              <w:rPr>
                <w:noProof/>
                <w:webHidden/>
              </w:rPr>
              <w:instrText xml:space="preserve"> PAGEREF _Toc149551305 \h </w:instrText>
            </w:r>
            <w:r w:rsidR="007E0ED8">
              <w:rPr>
                <w:noProof/>
                <w:webHidden/>
              </w:rPr>
            </w:r>
            <w:r w:rsidR="007E0ED8">
              <w:rPr>
                <w:noProof/>
                <w:webHidden/>
              </w:rPr>
              <w:fldChar w:fldCharType="separate"/>
            </w:r>
            <w:r w:rsidR="007E0ED8">
              <w:rPr>
                <w:noProof/>
                <w:webHidden/>
              </w:rPr>
              <w:t>2</w:t>
            </w:r>
            <w:r w:rsidR="007E0ED8">
              <w:rPr>
                <w:noProof/>
                <w:webHidden/>
              </w:rPr>
              <w:fldChar w:fldCharType="end"/>
            </w:r>
          </w:hyperlink>
        </w:p>
        <w:p w14:paraId="081591DD" w14:textId="279C28ED" w:rsidR="007E0ED8" w:rsidRDefault="007A4F44">
          <w:pPr>
            <w:pStyle w:val="TOC1"/>
            <w:tabs>
              <w:tab w:val="right" w:leader="dot" w:pos="9016"/>
            </w:tabs>
            <w:rPr>
              <w:rFonts w:eastAsiaTheme="minorEastAsia" w:cstheme="minorBidi"/>
              <w:noProof/>
              <w:szCs w:val="22"/>
              <w:lang w:eastAsia="en-AU"/>
            </w:rPr>
          </w:pPr>
          <w:hyperlink w:anchor="_Toc149551306" w:history="1">
            <w:r w:rsidR="007E0ED8" w:rsidRPr="000B6D3A">
              <w:rPr>
                <w:rStyle w:val="Hyperlink"/>
                <w:noProof/>
              </w:rPr>
              <w:t>Subsection 15(3) Procedures for determining Code of Conduct breaches and sanctions</w:t>
            </w:r>
            <w:r w:rsidR="007E0ED8">
              <w:rPr>
                <w:noProof/>
                <w:webHidden/>
              </w:rPr>
              <w:tab/>
            </w:r>
            <w:r w:rsidR="007E0ED8">
              <w:rPr>
                <w:noProof/>
                <w:webHidden/>
              </w:rPr>
              <w:fldChar w:fldCharType="begin"/>
            </w:r>
            <w:r w:rsidR="007E0ED8">
              <w:rPr>
                <w:noProof/>
                <w:webHidden/>
              </w:rPr>
              <w:instrText xml:space="preserve"> PAGEREF _Toc149551306 \h </w:instrText>
            </w:r>
            <w:r w:rsidR="007E0ED8">
              <w:rPr>
                <w:noProof/>
                <w:webHidden/>
              </w:rPr>
            </w:r>
            <w:r w:rsidR="007E0ED8">
              <w:rPr>
                <w:noProof/>
                <w:webHidden/>
              </w:rPr>
              <w:fldChar w:fldCharType="separate"/>
            </w:r>
            <w:r w:rsidR="007E0ED8">
              <w:rPr>
                <w:noProof/>
                <w:webHidden/>
              </w:rPr>
              <w:t>4</w:t>
            </w:r>
            <w:r w:rsidR="007E0ED8">
              <w:rPr>
                <w:noProof/>
                <w:webHidden/>
              </w:rPr>
              <w:fldChar w:fldCharType="end"/>
            </w:r>
          </w:hyperlink>
        </w:p>
        <w:p w14:paraId="3E897FCF" w14:textId="6433F29C" w:rsidR="007E0ED8" w:rsidRDefault="007A4F44">
          <w:pPr>
            <w:pStyle w:val="TOC2"/>
            <w:tabs>
              <w:tab w:val="right" w:leader="dot" w:pos="9016"/>
            </w:tabs>
            <w:rPr>
              <w:rFonts w:eastAsiaTheme="minorEastAsia" w:cstheme="minorBidi"/>
              <w:noProof/>
              <w:szCs w:val="22"/>
              <w:lang w:eastAsia="en-AU"/>
            </w:rPr>
          </w:pPr>
          <w:hyperlink w:anchor="_Toc149551307" w:history="1">
            <w:r w:rsidR="007E0ED8" w:rsidRPr="000B6D3A">
              <w:rPr>
                <w:rStyle w:val="Hyperlink"/>
                <w:noProof/>
              </w:rPr>
              <w:t>Establishment of these Procedures</w:t>
            </w:r>
            <w:r w:rsidR="007E0ED8">
              <w:rPr>
                <w:noProof/>
                <w:webHidden/>
              </w:rPr>
              <w:tab/>
            </w:r>
            <w:r w:rsidR="007E0ED8">
              <w:rPr>
                <w:noProof/>
                <w:webHidden/>
              </w:rPr>
              <w:fldChar w:fldCharType="begin"/>
            </w:r>
            <w:r w:rsidR="007E0ED8">
              <w:rPr>
                <w:noProof/>
                <w:webHidden/>
              </w:rPr>
              <w:instrText xml:space="preserve"> PAGEREF _Toc149551307 \h </w:instrText>
            </w:r>
            <w:r w:rsidR="007E0ED8">
              <w:rPr>
                <w:noProof/>
                <w:webHidden/>
              </w:rPr>
            </w:r>
            <w:r w:rsidR="007E0ED8">
              <w:rPr>
                <w:noProof/>
                <w:webHidden/>
              </w:rPr>
              <w:fldChar w:fldCharType="separate"/>
            </w:r>
            <w:r w:rsidR="007E0ED8">
              <w:rPr>
                <w:noProof/>
                <w:webHidden/>
              </w:rPr>
              <w:t>4</w:t>
            </w:r>
            <w:r w:rsidR="007E0ED8">
              <w:rPr>
                <w:noProof/>
                <w:webHidden/>
              </w:rPr>
              <w:fldChar w:fldCharType="end"/>
            </w:r>
          </w:hyperlink>
        </w:p>
        <w:p w14:paraId="3BF90EB4" w14:textId="79604F40" w:rsidR="007E0ED8" w:rsidRDefault="007A4F44">
          <w:pPr>
            <w:pStyle w:val="TOC2"/>
            <w:tabs>
              <w:tab w:val="right" w:leader="dot" w:pos="9016"/>
            </w:tabs>
            <w:rPr>
              <w:rFonts w:eastAsiaTheme="minorEastAsia" w:cstheme="minorBidi"/>
              <w:noProof/>
              <w:szCs w:val="22"/>
              <w:lang w:eastAsia="en-AU"/>
            </w:rPr>
          </w:pPr>
          <w:hyperlink w:anchor="_Toc149551308" w:history="1">
            <w:r w:rsidR="007E0ED8" w:rsidRPr="000B6D3A">
              <w:rPr>
                <w:rStyle w:val="Hyperlink"/>
                <w:noProof/>
              </w:rPr>
              <w:t>Introduction</w:t>
            </w:r>
            <w:r w:rsidR="007E0ED8">
              <w:rPr>
                <w:noProof/>
                <w:webHidden/>
              </w:rPr>
              <w:tab/>
            </w:r>
            <w:r w:rsidR="007E0ED8">
              <w:rPr>
                <w:noProof/>
                <w:webHidden/>
              </w:rPr>
              <w:fldChar w:fldCharType="begin"/>
            </w:r>
            <w:r w:rsidR="007E0ED8">
              <w:rPr>
                <w:noProof/>
                <w:webHidden/>
              </w:rPr>
              <w:instrText xml:space="preserve"> PAGEREF _Toc149551308 \h </w:instrText>
            </w:r>
            <w:r w:rsidR="007E0ED8">
              <w:rPr>
                <w:noProof/>
                <w:webHidden/>
              </w:rPr>
            </w:r>
            <w:r w:rsidR="007E0ED8">
              <w:rPr>
                <w:noProof/>
                <w:webHidden/>
              </w:rPr>
              <w:fldChar w:fldCharType="separate"/>
            </w:r>
            <w:r w:rsidR="007E0ED8">
              <w:rPr>
                <w:noProof/>
                <w:webHidden/>
              </w:rPr>
              <w:t>5</w:t>
            </w:r>
            <w:r w:rsidR="007E0ED8">
              <w:rPr>
                <w:noProof/>
                <w:webHidden/>
              </w:rPr>
              <w:fldChar w:fldCharType="end"/>
            </w:r>
          </w:hyperlink>
        </w:p>
        <w:p w14:paraId="5CB5D572" w14:textId="1A3D8F36" w:rsidR="007E0ED8" w:rsidRDefault="007A4F44">
          <w:pPr>
            <w:pStyle w:val="TOC2"/>
            <w:tabs>
              <w:tab w:val="right" w:leader="dot" w:pos="9016"/>
            </w:tabs>
            <w:rPr>
              <w:rFonts w:eastAsiaTheme="minorEastAsia" w:cstheme="minorBidi"/>
              <w:noProof/>
              <w:szCs w:val="22"/>
              <w:lang w:eastAsia="en-AU"/>
            </w:rPr>
          </w:pPr>
          <w:hyperlink w:anchor="_Toc149551309" w:history="1">
            <w:r w:rsidR="007E0ED8" w:rsidRPr="000B6D3A">
              <w:rPr>
                <w:rStyle w:val="Hyperlink"/>
                <w:noProof/>
              </w:rPr>
              <w:t>1. Decision to apply the Procedures</w:t>
            </w:r>
            <w:r w:rsidR="007E0ED8">
              <w:rPr>
                <w:noProof/>
                <w:webHidden/>
              </w:rPr>
              <w:tab/>
            </w:r>
            <w:r w:rsidR="007E0ED8">
              <w:rPr>
                <w:noProof/>
                <w:webHidden/>
              </w:rPr>
              <w:fldChar w:fldCharType="begin"/>
            </w:r>
            <w:r w:rsidR="007E0ED8">
              <w:rPr>
                <w:noProof/>
                <w:webHidden/>
              </w:rPr>
              <w:instrText xml:space="preserve"> PAGEREF _Toc149551309 \h </w:instrText>
            </w:r>
            <w:r w:rsidR="007E0ED8">
              <w:rPr>
                <w:noProof/>
                <w:webHidden/>
              </w:rPr>
            </w:r>
            <w:r w:rsidR="007E0ED8">
              <w:rPr>
                <w:noProof/>
                <w:webHidden/>
              </w:rPr>
              <w:fldChar w:fldCharType="separate"/>
            </w:r>
            <w:r w:rsidR="007E0ED8">
              <w:rPr>
                <w:noProof/>
                <w:webHidden/>
              </w:rPr>
              <w:t>5</w:t>
            </w:r>
            <w:r w:rsidR="007E0ED8">
              <w:rPr>
                <w:noProof/>
                <w:webHidden/>
              </w:rPr>
              <w:fldChar w:fldCharType="end"/>
            </w:r>
          </w:hyperlink>
        </w:p>
        <w:p w14:paraId="46CA703F" w14:textId="38111717" w:rsidR="007E0ED8" w:rsidRDefault="007A4F44">
          <w:pPr>
            <w:pStyle w:val="TOC2"/>
            <w:tabs>
              <w:tab w:val="right" w:leader="dot" w:pos="9016"/>
            </w:tabs>
            <w:rPr>
              <w:rFonts w:eastAsiaTheme="minorEastAsia" w:cstheme="minorBidi"/>
              <w:noProof/>
              <w:szCs w:val="22"/>
              <w:lang w:eastAsia="en-AU"/>
            </w:rPr>
          </w:pPr>
          <w:hyperlink w:anchor="_Toc149551310" w:history="1">
            <w:r w:rsidR="007E0ED8" w:rsidRPr="000B6D3A">
              <w:rPr>
                <w:rStyle w:val="Hyperlink"/>
                <w:noProof/>
              </w:rPr>
              <w:t>2. General process requirements</w:t>
            </w:r>
            <w:r w:rsidR="007E0ED8">
              <w:rPr>
                <w:noProof/>
                <w:webHidden/>
              </w:rPr>
              <w:tab/>
            </w:r>
            <w:r w:rsidR="007E0ED8">
              <w:rPr>
                <w:noProof/>
                <w:webHidden/>
              </w:rPr>
              <w:fldChar w:fldCharType="begin"/>
            </w:r>
            <w:r w:rsidR="007E0ED8">
              <w:rPr>
                <w:noProof/>
                <w:webHidden/>
              </w:rPr>
              <w:instrText xml:space="preserve"> PAGEREF _Toc149551310 \h </w:instrText>
            </w:r>
            <w:r w:rsidR="007E0ED8">
              <w:rPr>
                <w:noProof/>
                <w:webHidden/>
              </w:rPr>
            </w:r>
            <w:r w:rsidR="007E0ED8">
              <w:rPr>
                <w:noProof/>
                <w:webHidden/>
              </w:rPr>
              <w:fldChar w:fldCharType="separate"/>
            </w:r>
            <w:r w:rsidR="007E0ED8">
              <w:rPr>
                <w:noProof/>
                <w:webHidden/>
              </w:rPr>
              <w:t>5</w:t>
            </w:r>
            <w:r w:rsidR="007E0ED8">
              <w:rPr>
                <w:noProof/>
                <w:webHidden/>
              </w:rPr>
              <w:fldChar w:fldCharType="end"/>
            </w:r>
          </w:hyperlink>
        </w:p>
        <w:p w14:paraId="5F410810" w14:textId="74161EE1" w:rsidR="007E0ED8" w:rsidRDefault="007A4F44">
          <w:pPr>
            <w:pStyle w:val="TOC2"/>
            <w:tabs>
              <w:tab w:val="right" w:leader="dot" w:pos="9016"/>
            </w:tabs>
            <w:rPr>
              <w:rFonts w:eastAsiaTheme="minorEastAsia" w:cstheme="minorBidi"/>
              <w:noProof/>
              <w:szCs w:val="22"/>
              <w:lang w:eastAsia="en-AU"/>
            </w:rPr>
          </w:pPr>
          <w:hyperlink w:anchor="_Toc149551311" w:history="1">
            <w:r w:rsidR="007E0ED8" w:rsidRPr="000B6D3A">
              <w:rPr>
                <w:rStyle w:val="Hyperlink"/>
                <w:noProof/>
              </w:rPr>
              <w:t>3. Selection of breach decision-maker</w:t>
            </w:r>
            <w:r w:rsidR="007E0ED8">
              <w:rPr>
                <w:noProof/>
                <w:webHidden/>
              </w:rPr>
              <w:tab/>
            </w:r>
            <w:r w:rsidR="007E0ED8">
              <w:rPr>
                <w:noProof/>
                <w:webHidden/>
              </w:rPr>
              <w:fldChar w:fldCharType="begin"/>
            </w:r>
            <w:r w:rsidR="007E0ED8">
              <w:rPr>
                <w:noProof/>
                <w:webHidden/>
              </w:rPr>
              <w:instrText xml:space="preserve"> PAGEREF _Toc149551311 \h </w:instrText>
            </w:r>
            <w:r w:rsidR="007E0ED8">
              <w:rPr>
                <w:noProof/>
                <w:webHidden/>
              </w:rPr>
            </w:r>
            <w:r w:rsidR="007E0ED8">
              <w:rPr>
                <w:noProof/>
                <w:webHidden/>
              </w:rPr>
              <w:fldChar w:fldCharType="separate"/>
            </w:r>
            <w:r w:rsidR="007E0ED8">
              <w:rPr>
                <w:noProof/>
                <w:webHidden/>
              </w:rPr>
              <w:t>6</w:t>
            </w:r>
            <w:r w:rsidR="007E0ED8">
              <w:rPr>
                <w:noProof/>
                <w:webHidden/>
              </w:rPr>
              <w:fldChar w:fldCharType="end"/>
            </w:r>
          </w:hyperlink>
        </w:p>
        <w:p w14:paraId="5CDF2C39" w14:textId="66CE2418" w:rsidR="007E0ED8" w:rsidRDefault="007A4F44">
          <w:pPr>
            <w:pStyle w:val="TOC2"/>
            <w:tabs>
              <w:tab w:val="right" w:leader="dot" w:pos="9016"/>
            </w:tabs>
            <w:rPr>
              <w:rFonts w:eastAsiaTheme="minorEastAsia" w:cstheme="minorBidi"/>
              <w:noProof/>
              <w:szCs w:val="22"/>
              <w:lang w:eastAsia="en-AU"/>
            </w:rPr>
          </w:pPr>
          <w:hyperlink w:anchor="_Toc149551312" w:history="1">
            <w:r w:rsidR="007E0ED8" w:rsidRPr="000B6D3A">
              <w:rPr>
                <w:rStyle w:val="Hyperlink"/>
                <w:noProof/>
              </w:rPr>
              <w:t>4. Determining breach – specific requirements</w:t>
            </w:r>
            <w:r w:rsidR="007E0ED8">
              <w:rPr>
                <w:noProof/>
                <w:webHidden/>
              </w:rPr>
              <w:tab/>
            </w:r>
            <w:r w:rsidR="007E0ED8">
              <w:rPr>
                <w:noProof/>
                <w:webHidden/>
              </w:rPr>
              <w:fldChar w:fldCharType="begin"/>
            </w:r>
            <w:r w:rsidR="007E0ED8">
              <w:rPr>
                <w:noProof/>
                <w:webHidden/>
              </w:rPr>
              <w:instrText xml:space="preserve"> PAGEREF _Toc149551312 \h </w:instrText>
            </w:r>
            <w:r w:rsidR="007E0ED8">
              <w:rPr>
                <w:noProof/>
                <w:webHidden/>
              </w:rPr>
            </w:r>
            <w:r w:rsidR="007E0ED8">
              <w:rPr>
                <w:noProof/>
                <w:webHidden/>
              </w:rPr>
              <w:fldChar w:fldCharType="separate"/>
            </w:r>
            <w:r w:rsidR="007E0ED8">
              <w:rPr>
                <w:noProof/>
                <w:webHidden/>
              </w:rPr>
              <w:t>6</w:t>
            </w:r>
            <w:r w:rsidR="007E0ED8">
              <w:rPr>
                <w:noProof/>
                <w:webHidden/>
              </w:rPr>
              <w:fldChar w:fldCharType="end"/>
            </w:r>
          </w:hyperlink>
        </w:p>
        <w:p w14:paraId="78B05B73" w14:textId="556BD1C0" w:rsidR="007E0ED8" w:rsidRDefault="007A4F44">
          <w:pPr>
            <w:pStyle w:val="TOC2"/>
            <w:tabs>
              <w:tab w:val="right" w:leader="dot" w:pos="9016"/>
            </w:tabs>
            <w:rPr>
              <w:rFonts w:eastAsiaTheme="minorEastAsia" w:cstheme="minorBidi"/>
              <w:noProof/>
              <w:szCs w:val="22"/>
              <w:lang w:eastAsia="en-AU"/>
            </w:rPr>
          </w:pPr>
          <w:hyperlink w:anchor="_Toc149551313" w:history="1">
            <w:r w:rsidR="007E0ED8" w:rsidRPr="000B6D3A">
              <w:rPr>
                <w:rStyle w:val="Hyperlink"/>
                <w:noProof/>
              </w:rPr>
              <w:t>5. Selection of sanction decision-maker</w:t>
            </w:r>
            <w:r w:rsidR="007E0ED8">
              <w:rPr>
                <w:noProof/>
                <w:webHidden/>
              </w:rPr>
              <w:tab/>
            </w:r>
            <w:r w:rsidR="007E0ED8">
              <w:rPr>
                <w:noProof/>
                <w:webHidden/>
              </w:rPr>
              <w:fldChar w:fldCharType="begin"/>
            </w:r>
            <w:r w:rsidR="007E0ED8">
              <w:rPr>
                <w:noProof/>
                <w:webHidden/>
              </w:rPr>
              <w:instrText xml:space="preserve"> PAGEREF _Toc149551313 \h </w:instrText>
            </w:r>
            <w:r w:rsidR="007E0ED8">
              <w:rPr>
                <w:noProof/>
                <w:webHidden/>
              </w:rPr>
            </w:r>
            <w:r w:rsidR="007E0ED8">
              <w:rPr>
                <w:noProof/>
                <w:webHidden/>
              </w:rPr>
              <w:fldChar w:fldCharType="separate"/>
            </w:r>
            <w:r w:rsidR="007E0ED8">
              <w:rPr>
                <w:noProof/>
                <w:webHidden/>
              </w:rPr>
              <w:t>7</w:t>
            </w:r>
            <w:r w:rsidR="007E0ED8">
              <w:rPr>
                <w:noProof/>
                <w:webHidden/>
              </w:rPr>
              <w:fldChar w:fldCharType="end"/>
            </w:r>
          </w:hyperlink>
        </w:p>
        <w:p w14:paraId="20B13554" w14:textId="5335BF5B" w:rsidR="007E0ED8" w:rsidRDefault="007A4F44">
          <w:pPr>
            <w:pStyle w:val="TOC2"/>
            <w:tabs>
              <w:tab w:val="right" w:leader="dot" w:pos="9016"/>
            </w:tabs>
            <w:rPr>
              <w:rFonts w:eastAsiaTheme="minorEastAsia" w:cstheme="minorBidi"/>
              <w:noProof/>
              <w:szCs w:val="22"/>
              <w:lang w:eastAsia="en-AU"/>
            </w:rPr>
          </w:pPr>
          <w:hyperlink w:anchor="_Toc149551314" w:history="1">
            <w:r w:rsidR="007E0ED8" w:rsidRPr="000B6D3A">
              <w:rPr>
                <w:rStyle w:val="Hyperlink"/>
                <w:noProof/>
              </w:rPr>
              <w:t>6. Determining sanction – specific requirements</w:t>
            </w:r>
            <w:r w:rsidR="007E0ED8">
              <w:rPr>
                <w:noProof/>
                <w:webHidden/>
              </w:rPr>
              <w:tab/>
            </w:r>
            <w:r w:rsidR="007E0ED8">
              <w:rPr>
                <w:noProof/>
                <w:webHidden/>
              </w:rPr>
              <w:fldChar w:fldCharType="begin"/>
            </w:r>
            <w:r w:rsidR="007E0ED8">
              <w:rPr>
                <w:noProof/>
                <w:webHidden/>
              </w:rPr>
              <w:instrText xml:space="preserve"> PAGEREF _Toc149551314 \h </w:instrText>
            </w:r>
            <w:r w:rsidR="007E0ED8">
              <w:rPr>
                <w:noProof/>
                <w:webHidden/>
              </w:rPr>
            </w:r>
            <w:r w:rsidR="007E0ED8">
              <w:rPr>
                <w:noProof/>
                <w:webHidden/>
              </w:rPr>
              <w:fldChar w:fldCharType="separate"/>
            </w:r>
            <w:r w:rsidR="007E0ED8">
              <w:rPr>
                <w:noProof/>
                <w:webHidden/>
              </w:rPr>
              <w:t>7</w:t>
            </w:r>
            <w:r w:rsidR="007E0ED8">
              <w:rPr>
                <w:noProof/>
                <w:webHidden/>
              </w:rPr>
              <w:fldChar w:fldCharType="end"/>
            </w:r>
          </w:hyperlink>
        </w:p>
        <w:p w14:paraId="49579661" w14:textId="6338B208" w:rsidR="007E0ED8" w:rsidRDefault="007A4F44">
          <w:pPr>
            <w:pStyle w:val="TOC2"/>
            <w:tabs>
              <w:tab w:val="right" w:leader="dot" w:pos="9016"/>
            </w:tabs>
            <w:rPr>
              <w:rFonts w:eastAsiaTheme="minorEastAsia" w:cstheme="minorBidi"/>
              <w:noProof/>
              <w:szCs w:val="22"/>
              <w:lang w:eastAsia="en-AU"/>
            </w:rPr>
          </w:pPr>
          <w:hyperlink w:anchor="_Toc149551315" w:history="1">
            <w:r w:rsidR="007E0ED8" w:rsidRPr="000B6D3A">
              <w:rPr>
                <w:rStyle w:val="Hyperlink"/>
                <w:noProof/>
              </w:rPr>
              <w:t>7. Record of determination and sanctions</w:t>
            </w:r>
            <w:r w:rsidR="007E0ED8">
              <w:rPr>
                <w:noProof/>
                <w:webHidden/>
              </w:rPr>
              <w:tab/>
            </w:r>
            <w:r w:rsidR="007E0ED8">
              <w:rPr>
                <w:noProof/>
                <w:webHidden/>
              </w:rPr>
              <w:fldChar w:fldCharType="begin"/>
            </w:r>
            <w:r w:rsidR="007E0ED8">
              <w:rPr>
                <w:noProof/>
                <w:webHidden/>
              </w:rPr>
              <w:instrText xml:space="preserve"> PAGEREF _Toc149551315 \h </w:instrText>
            </w:r>
            <w:r w:rsidR="007E0ED8">
              <w:rPr>
                <w:noProof/>
                <w:webHidden/>
              </w:rPr>
            </w:r>
            <w:r w:rsidR="007E0ED8">
              <w:rPr>
                <w:noProof/>
                <w:webHidden/>
              </w:rPr>
              <w:fldChar w:fldCharType="separate"/>
            </w:r>
            <w:r w:rsidR="007E0ED8">
              <w:rPr>
                <w:noProof/>
                <w:webHidden/>
              </w:rPr>
              <w:t>8</w:t>
            </w:r>
            <w:r w:rsidR="007E0ED8">
              <w:rPr>
                <w:noProof/>
                <w:webHidden/>
              </w:rPr>
              <w:fldChar w:fldCharType="end"/>
            </w:r>
          </w:hyperlink>
        </w:p>
        <w:p w14:paraId="4030F04A" w14:textId="413A189C" w:rsidR="007E0ED8" w:rsidRDefault="007A4F44">
          <w:pPr>
            <w:pStyle w:val="TOC2"/>
            <w:tabs>
              <w:tab w:val="right" w:leader="dot" w:pos="9016"/>
            </w:tabs>
            <w:rPr>
              <w:rFonts w:eastAsiaTheme="minorEastAsia" w:cstheme="minorBidi"/>
              <w:noProof/>
              <w:szCs w:val="22"/>
              <w:lang w:eastAsia="en-AU"/>
            </w:rPr>
          </w:pPr>
          <w:hyperlink w:anchor="_Toc149551316" w:history="1">
            <w:r w:rsidR="007E0ED8" w:rsidRPr="000B6D3A">
              <w:rPr>
                <w:rStyle w:val="Hyperlink"/>
                <w:noProof/>
              </w:rPr>
              <w:t>8. Procedure when an employee is to move to another Agency during an investigation</w:t>
            </w:r>
            <w:r w:rsidR="007E0ED8">
              <w:rPr>
                <w:noProof/>
                <w:webHidden/>
              </w:rPr>
              <w:tab/>
            </w:r>
            <w:r w:rsidR="007E0ED8">
              <w:rPr>
                <w:noProof/>
                <w:webHidden/>
              </w:rPr>
              <w:fldChar w:fldCharType="begin"/>
            </w:r>
            <w:r w:rsidR="007E0ED8">
              <w:rPr>
                <w:noProof/>
                <w:webHidden/>
              </w:rPr>
              <w:instrText xml:space="preserve"> PAGEREF _Toc149551316 \h </w:instrText>
            </w:r>
            <w:r w:rsidR="007E0ED8">
              <w:rPr>
                <w:noProof/>
                <w:webHidden/>
              </w:rPr>
            </w:r>
            <w:r w:rsidR="007E0ED8">
              <w:rPr>
                <w:noProof/>
                <w:webHidden/>
              </w:rPr>
              <w:fldChar w:fldCharType="separate"/>
            </w:r>
            <w:r w:rsidR="007E0ED8">
              <w:rPr>
                <w:noProof/>
                <w:webHidden/>
              </w:rPr>
              <w:t>8</w:t>
            </w:r>
            <w:r w:rsidR="007E0ED8">
              <w:rPr>
                <w:noProof/>
                <w:webHidden/>
              </w:rPr>
              <w:fldChar w:fldCharType="end"/>
            </w:r>
          </w:hyperlink>
        </w:p>
        <w:p w14:paraId="62C6A62F" w14:textId="48B2C8B2" w:rsidR="00CB3C02" w:rsidRDefault="00CB3C02">
          <w:r>
            <w:rPr>
              <w:b/>
              <w:bCs/>
              <w:noProof/>
            </w:rPr>
            <w:fldChar w:fldCharType="end"/>
          </w:r>
        </w:p>
      </w:sdtContent>
    </w:sdt>
    <w:p w14:paraId="33BC6BBA" w14:textId="617B0EAA" w:rsidR="0089358C" w:rsidRDefault="0089358C">
      <w:r>
        <w:br w:type="page"/>
      </w:r>
    </w:p>
    <w:p w14:paraId="7DCA044F" w14:textId="77777777" w:rsidR="008B265C" w:rsidRDefault="008B265C" w:rsidP="008B265C">
      <w:pPr>
        <w:pStyle w:val="Heading1"/>
      </w:pPr>
      <w:bookmarkStart w:id="7" w:name="_Toc149551306"/>
      <w:r>
        <w:lastRenderedPageBreak/>
        <w:t xml:space="preserve">Subsection 15(3) Procedures for determining Code of Conduct breaches and </w:t>
      </w:r>
      <w:proofErr w:type="gramStart"/>
      <w:r>
        <w:t>sanctions</w:t>
      </w:r>
      <w:bookmarkEnd w:id="7"/>
      <w:proofErr w:type="gramEnd"/>
    </w:p>
    <w:p w14:paraId="5B3FD288" w14:textId="68F5E69B" w:rsidR="00374314" w:rsidRPr="00374314" w:rsidRDefault="00374314" w:rsidP="00374314">
      <w:pPr>
        <w:pStyle w:val="Heading2"/>
      </w:pPr>
      <w:bookmarkStart w:id="8" w:name="_Toc149551307"/>
      <w:r>
        <w:t>Establishment of these Procedures</w:t>
      </w:r>
      <w:bookmarkEnd w:id="8"/>
    </w:p>
    <w:p w14:paraId="0A9B2AEA" w14:textId="77777777" w:rsidR="008B265C" w:rsidRDefault="008B265C" w:rsidP="00CB3C02"/>
    <w:p w14:paraId="48EE6FF7" w14:textId="6F9680CE" w:rsidR="00CB3C02" w:rsidRDefault="00247162" w:rsidP="00CB3C02">
      <w:r>
        <w:t xml:space="preserve">I, Ian Yates AM, </w:t>
      </w:r>
      <w:r w:rsidR="009409F1">
        <w:t xml:space="preserve">as </w:t>
      </w:r>
      <w:r w:rsidR="00C552B8">
        <w:t>A</w:t>
      </w:r>
      <w:r w:rsidR="00CC37E9">
        <w:t xml:space="preserve">cting </w:t>
      </w:r>
      <w:r>
        <w:t>Inspector-General of Aged Care</w:t>
      </w:r>
      <w:r w:rsidR="009409F1">
        <w:t xml:space="preserve"> and Agency Head of the Office of the Inspector-General of Aged Care</w:t>
      </w:r>
      <w:r>
        <w:t xml:space="preserve">, establish these procedures for the Office of the Inspector-General of Aged Care under subsection 15(3) of the </w:t>
      </w:r>
      <w:r>
        <w:rPr>
          <w:i/>
          <w:iCs/>
        </w:rPr>
        <w:t>Public Service Act 1999</w:t>
      </w:r>
      <w:r>
        <w:t xml:space="preserve">. </w:t>
      </w:r>
    </w:p>
    <w:p w14:paraId="0254FD8D" w14:textId="227A12CF" w:rsidR="00E065C3" w:rsidRDefault="009409F1" w:rsidP="00CB3C02">
      <w:r>
        <w:t xml:space="preserve">These </w:t>
      </w:r>
      <w:r w:rsidR="00DB684F">
        <w:t>P</w:t>
      </w:r>
      <w:r>
        <w:t>rocedures commence on 16 October 2023.</w:t>
      </w:r>
    </w:p>
    <w:p w14:paraId="4987DA52" w14:textId="77777777" w:rsidR="00DB684F" w:rsidRDefault="00DB684F" w:rsidP="00CB3C02"/>
    <w:p w14:paraId="627E54FD" w14:textId="17E2C882" w:rsidR="0099625B" w:rsidRDefault="009409F1" w:rsidP="00CB3C02">
      <w:r>
        <w:t>IAN YATES AM</w:t>
      </w:r>
    </w:p>
    <w:p w14:paraId="2507362F" w14:textId="18C3AB86" w:rsidR="009409F1" w:rsidRDefault="009409F1" w:rsidP="00CB3C02">
      <w:r>
        <w:t>Acting Inspector-General of Aged Care</w:t>
      </w:r>
    </w:p>
    <w:p w14:paraId="48E5181C" w14:textId="77777777" w:rsidR="00CE221A" w:rsidRDefault="00CE221A">
      <w:pPr>
        <w:rPr>
          <w:rFonts w:eastAsiaTheme="majorEastAsia" w:cstheme="majorBidi"/>
          <w:b/>
          <w:color w:val="59237B"/>
          <w:sz w:val="40"/>
          <w:szCs w:val="26"/>
        </w:rPr>
      </w:pPr>
      <w:r>
        <w:br w:type="page"/>
      </w:r>
    </w:p>
    <w:p w14:paraId="5FBC4B9E" w14:textId="6C530B4A" w:rsidR="00247162" w:rsidRDefault="004603B1" w:rsidP="004603B1">
      <w:pPr>
        <w:pStyle w:val="Heading2"/>
      </w:pPr>
      <w:bookmarkStart w:id="9" w:name="_Toc149551308"/>
      <w:r>
        <w:lastRenderedPageBreak/>
        <w:t>Introduction</w:t>
      </w:r>
      <w:bookmarkEnd w:id="9"/>
    </w:p>
    <w:p w14:paraId="487385A1" w14:textId="73C2F7D9" w:rsidR="006A0938" w:rsidRDefault="004603B1" w:rsidP="004603B1">
      <w:r>
        <w:t xml:space="preserve">The APS Code of Conduct </w:t>
      </w:r>
      <w:r w:rsidR="009C574E">
        <w:t xml:space="preserve">(the Code) </w:t>
      </w:r>
      <w:r>
        <w:t>establishes the standards of conduct required of APS employees</w:t>
      </w:r>
      <w:r w:rsidR="009C574E">
        <w:t xml:space="preserve">, and is </w:t>
      </w:r>
      <w:r>
        <w:t xml:space="preserve">set out in section 13 of the </w:t>
      </w:r>
      <w:r w:rsidRPr="00EC067D">
        <w:rPr>
          <w:i/>
          <w:iCs/>
        </w:rPr>
        <w:t>Public Service Act 1999</w:t>
      </w:r>
      <w:r>
        <w:t xml:space="preserve"> (the Act). </w:t>
      </w:r>
    </w:p>
    <w:p w14:paraId="3B42DABC" w14:textId="2F02E4DF" w:rsidR="00587A17" w:rsidRDefault="009623C1" w:rsidP="004603B1">
      <w:r>
        <w:t xml:space="preserve">A </w:t>
      </w:r>
      <w:r w:rsidR="00A769E9">
        <w:t xml:space="preserve">breach of the Code </w:t>
      </w:r>
      <w:r>
        <w:t>constitutes misconduct</w:t>
      </w:r>
      <w:r w:rsidR="00A769E9">
        <w:t>,</w:t>
      </w:r>
      <w:r>
        <w:t xml:space="preserve"> and can result in</w:t>
      </w:r>
      <w:r w:rsidR="00A769E9">
        <w:t xml:space="preserve"> </w:t>
      </w:r>
      <w:r w:rsidR="009B3A60">
        <w:t xml:space="preserve">sanctions </w:t>
      </w:r>
      <w:r>
        <w:t xml:space="preserve">being </w:t>
      </w:r>
      <w:r w:rsidR="009B3A60">
        <w:t>imposed.</w:t>
      </w:r>
    </w:p>
    <w:p w14:paraId="2260A673" w14:textId="752A447F" w:rsidR="004603B1" w:rsidRDefault="009623C1" w:rsidP="004603B1">
      <w:r>
        <w:t>The determination of whether a breach has occurred</w:t>
      </w:r>
      <w:r w:rsidR="00F4147B">
        <w:t>,</w:t>
      </w:r>
      <w:r>
        <w:t xml:space="preserve"> and </w:t>
      </w:r>
      <w:r w:rsidR="009645FA">
        <w:t xml:space="preserve">what (if any) </w:t>
      </w:r>
      <w:r w:rsidR="00901C6D">
        <w:t>sanction is to be imposed</w:t>
      </w:r>
      <w:r w:rsidR="005E0E3B">
        <w:t xml:space="preserve">, must be done </w:t>
      </w:r>
      <w:r w:rsidR="00D41C0A">
        <w:t>under</w:t>
      </w:r>
      <w:r w:rsidR="005E0E3B">
        <w:t xml:space="preserve"> </w:t>
      </w:r>
      <w:r w:rsidR="00300369">
        <w:t xml:space="preserve">written </w:t>
      </w:r>
      <w:r w:rsidR="005E0E3B">
        <w:t>procedures established by the Agency Head under subsection 15(3) of the Act</w:t>
      </w:r>
      <w:r w:rsidR="00F85F92">
        <w:t>.</w:t>
      </w:r>
    </w:p>
    <w:p w14:paraId="2D3BBF2D" w14:textId="5F0BDC31" w:rsidR="00CC3980" w:rsidRDefault="00A11962" w:rsidP="009645FA">
      <w:pPr>
        <w:spacing w:after="120"/>
      </w:pPr>
      <w:r>
        <w:t>The</w:t>
      </w:r>
      <w:r w:rsidR="00F85F92">
        <w:t xml:space="preserve"> </w:t>
      </w:r>
      <w:r w:rsidR="00A479E6">
        <w:t xml:space="preserve">procedures </w:t>
      </w:r>
      <w:r w:rsidR="00320364">
        <w:t>must:</w:t>
      </w:r>
    </w:p>
    <w:p w14:paraId="2845B0E1" w14:textId="65DB547D" w:rsidR="00320364" w:rsidRDefault="00093849" w:rsidP="00320364">
      <w:pPr>
        <w:pStyle w:val="ListParagraph"/>
        <w:numPr>
          <w:ilvl w:val="0"/>
          <w:numId w:val="20"/>
        </w:numPr>
      </w:pPr>
      <w:r>
        <w:t xml:space="preserve">Comply with the procedural requirements set out in the </w:t>
      </w:r>
      <w:r w:rsidR="002B49AE">
        <w:t xml:space="preserve">Australian Public Service </w:t>
      </w:r>
      <w:r>
        <w:t>Commission</w:t>
      </w:r>
      <w:r w:rsidR="00A11962">
        <w:t>er</w:t>
      </w:r>
      <w:r>
        <w:t xml:space="preserve">’s </w:t>
      </w:r>
      <w:r w:rsidR="00932D86">
        <w:t xml:space="preserve">(APS Commissioner) </w:t>
      </w:r>
      <w:r w:rsidR="00990D4D">
        <w:t>Directions</w:t>
      </w:r>
      <w:r w:rsidR="00932D86">
        <w:t xml:space="preserve"> 2022</w:t>
      </w:r>
      <w:r w:rsidR="00990D4D">
        <w:t>.</w:t>
      </w:r>
    </w:p>
    <w:p w14:paraId="51456274" w14:textId="43C01257" w:rsidR="00990D4D" w:rsidRDefault="00990D4D" w:rsidP="00320364">
      <w:pPr>
        <w:pStyle w:val="ListParagraph"/>
        <w:numPr>
          <w:ilvl w:val="0"/>
          <w:numId w:val="20"/>
        </w:numPr>
      </w:pPr>
      <w:r>
        <w:t xml:space="preserve">Have due </w:t>
      </w:r>
      <w:r w:rsidR="00012589">
        <w:t>regard to procedural fairness.</w:t>
      </w:r>
    </w:p>
    <w:p w14:paraId="0244D459" w14:textId="77777777" w:rsidR="00F85F92" w:rsidRDefault="00CC0D0F" w:rsidP="00F40640">
      <w:pPr>
        <w:pStyle w:val="ListParagraph"/>
        <w:numPr>
          <w:ilvl w:val="0"/>
          <w:numId w:val="20"/>
        </w:numPr>
      </w:pPr>
      <w:r>
        <w:t>Be made publicly available.</w:t>
      </w:r>
    </w:p>
    <w:p w14:paraId="379CBEDB" w14:textId="2993A09A" w:rsidR="0099625B" w:rsidRPr="00225ADF" w:rsidRDefault="00A11962" w:rsidP="00F85F92">
      <w:r>
        <w:t xml:space="preserve">To fulfill these requirements, the acting </w:t>
      </w:r>
      <w:r w:rsidR="00A479E6">
        <w:t xml:space="preserve">Inspector-General </w:t>
      </w:r>
      <w:r>
        <w:t>of Aged Care</w:t>
      </w:r>
      <w:r w:rsidR="00AF64B1">
        <w:t xml:space="preserve"> (Inspector-General)</w:t>
      </w:r>
      <w:r>
        <w:t xml:space="preserve"> has</w:t>
      </w:r>
      <w:r w:rsidR="002B49AE">
        <w:t xml:space="preserve">, as the Agency Head, </w:t>
      </w:r>
      <w:r>
        <w:t xml:space="preserve">established these procedures </w:t>
      </w:r>
      <w:r w:rsidR="00A479E6">
        <w:t>under subsection 15(3) of the Act</w:t>
      </w:r>
      <w:r>
        <w:t xml:space="preserve"> (</w:t>
      </w:r>
      <w:r w:rsidR="002B49AE">
        <w:t xml:space="preserve">hereafter, the </w:t>
      </w:r>
      <w:r w:rsidRPr="00225ADF">
        <w:t>Procedures)</w:t>
      </w:r>
      <w:r w:rsidR="002C50A1" w:rsidRPr="00225ADF">
        <w:t>.</w:t>
      </w:r>
    </w:p>
    <w:p w14:paraId="5F456903" w14:textId="77777777" w:rsidR="00365917" w:rsidRDefault="00365917" w:rsidP="00365917">
      <w:pPr>
        <w:spacing w:after="120"/>
      </w:pPr>
      <w:r>
        <w:t>These</w:t>
      </w:r>
      <w:r w:rsidR="00DC4977" w:rsidRPr="00225ADF">
        <w:t xml:space="preserve"> Procedures</w:t>
      </w:r>
      <w:r>
        <w:t xml:space="preserve"> apply to:</w:t>
      </w:r>
    </w:p>
    <w:p w14:paraId="3DE43EC6" w14:textId="24D76E46" w:rsidR="00E174D2" w:rsidRDefault="00E174D2" w:rsidP="00365917">
      <w:pPr>
        <w:pStyle w:val="ListParagraph"/>
        <w:numPr>
          <w:ilvl w:val="0"/>
          <w:numId w:val="31"/>
        </w:numPr>
      </w:pPr>
      <w:r>
        <w:t xml:space="preserve">For </w:t>
      </w:r>
      <w:r w:rsidR="0064706B">
        <w:t>determining whether</w:t>
      </w:r>
      <w:r>
        <w:t xml:space="preserve"> the Code </w:t>
      </w:r>
      <w:r w:rsidR="0064706B">
        <w:t xml:space="preserve">was breached </w:t>
      </w:r>
      <w:r>
        <w:t xml:space="preserve">– a </w:t>
      </w:r>
      <w:r w:rsidR="00DC4977" w:rsidRPr="00225ADF">
        <w:t>current or former employee</w:t>
      </w:r>
      <w:r w:rsidR="0064706B">
        <w:t xml:space="preserve"> </w:t>
      </w:r>
      <w:r w:rsidR="00DC4977" w:rsidRPr="00225ADF">
        <w:t>of the Office of the Inspector</w:t>
      </w:r>
      <w:r w:rsidR="00DC4977">
        <w:t>-General of Aged Care (OIGAC)</w:t>
      </w:r>
      <w:r w:rsidR="0064706B">
        <w:t>.</w:t>
      </w:r>
    </w:p>
    <w:p w14:paraId="39A2C745" w14:textId="6C5E7385" w:rsidR="00DC4977" w:rsidRPr="00E065C3" w:rsidRDefault="00E174D2" w:rsidP="00365917">
      <w:pPr>
        <w:pStyle w:val="ListParagraph"/>
        <w:numPr>
          <w:ilvl w:val="0"/>
          <w:numId w:val="31"/>
        </w:numPr>
      </w:pPr>
      <w:r>
        <w:t xml:space="preserve">For </w:t>
      </w:r>
      <w:r w:rsidR="0064706B">
        <w:t xml:space="preserve">determining whether to impose a </w:t>
      </w:r>
      <w:r w:rsidR="00DC4977">
        <w:t xml:space="preserve">sanction </w:t>
      </w:r>
      <w:r w:rsidR="0064706B">
        <w:t xml:space="preserve">– </w:t>
      </w:r>
      <w:r w:rsidR="00DC4977">
        <w:t>a</w:t>
      </w:r>
      <w:r w:rsidR="0064706B">
        <w:t xml:space="preserve"> </w:t>
      </w:r>
      <w:r w:rsidR="00DC4977">
        <w:t xml:space="preserve">current OIGAC </w:t>
      </w:r>
      <w:r w:rsidR="00225ADF">
        <w:t xml:space="preserve">employee </w:t>
      </w:r>
      <w:r w:rsidR="00352440">
        <w:t>who has breached the Code</w:t>
      </w:r>
      <w:r w:rsidR="00225ADF">
        <w:t>.</w:t>
      </w:r>
    </w:p>
    <w:p w14:paraId="6C9C9764" w14:textId="0FB51BB3" w:rsidR="00965627" w:rsidRDefault="00393AE0" w:rsidP="00E020EE">
      <w:pPr>
        <w:pStyle w:val="Heading2"/>
      </w:pPr>
      <w:bookmarkStart w:id="10" w:name="_Toc149551309"/>
      <w:r>
        <w:t xml:space="preserve">1. </w:t>
      </w:r>
      <w:r w:rsidR="00E75F1B">
        <w:t>Decision to apply</w:t>
      </w:r>
      <w:r w:rsidR="00E020EE">
        <w:t xml:space="preserve"> </w:t>
      </w:r>
      <w:r w:rsidR="00CB0D44">
        <w:t xml:space="preserve">the </w:t>
      </w:r>
      <w:r w:rsidR="00E020EE">
        <w:t>Procedures</w:t>
      </w:r>
      <w:bookmarkEnd w:id="10"/>
      <w:r w:rsidR="00E020EE">
        <w:t xml:space="preserve"> </w:t>
      </w:r>
    </w:p>
    <w:p w14:paraId="0E9B3350" w14:textId="57C66EE2" w:rsidR="006D595F" w:rsidRDefault="00393AE0" w:rsidP="00F9415B">
      <w:r>
        <w:t xml:space="preserve">The Inspector-General </w:t>
      </w:r>
      <w:r w:rsidR="00DA705A">
        <w:t>must</w:t>
      </w:r>
      <w:r>
        <w:t xml:space="preserve"> decide whether to deal with a suspected breach of the Code </w:t>
      </w:r>
      <w:r w:rsidR="00BB7444">
        <w:t xml:space="preserve">by initiating an inquiry </w:t>
      </w:r>
      <w:r>
        <w:t xml:space="preserve">under these </w:t>
      </w:r>
      <w:r w:rsidR="00585E05">
        <w:t>P</w:t>
      </w:r>
      <w:r>
        <w:t>rocedures</w:t>
      </w:r>
      <w:r w:rsidR="0063165A">
        <w:t>,</w:t>
      </w:r>
      <w:r>
        <w:t xml:space="preserve"> or </w:t>
      </w:r>
      <w:r w:rsidR="00E363E3">
        <w:t>through alternative means</w:t>
      </w:r>
      <w:r w:rsidR="0063165A">
        <w:t xml:space="preserve"> (e.g. by </w:t>
      </w:r>
      <w:r>
        <w:t>counselling or warning the employee</w:t>
      </w:r>
      <w:r w:rsidR="0063165A">
        <w:t>)</w:t>
      </w:r>
      <w:r>
        <w:t>.</w:t>
      </w:r>
    </w:p>
    <w:p w14:paraId="07DFBD42" w14:textId="5388D961" w:rsidR="00B943D1" w:rsidRDefault="00B943D1" w:rsidP="00B943D1">
      <w:r>
        <w:t xml:space="preserve">Where the conduct of </w:t>
      </w:r>
      <w:r w:rsidR="00C749CC">
        <w:t>an</w:t>
      </w:r>
      <w:r>
        <w:t xml:space="preserve"> APS employee raises concerns that relate both to suspected breaches of the Code and to effective performance</w:t>
      </w:r>
      <w:r w:rsidRPr="006F4D23">
        <w:t>, the Inspector-General must have</w:t>
      </w:r>
      <w:r>
        <w:t xml:space="preserve"> regard to any relevant standards and guidance issued by the </w:t>
      </w:r>
      <w:r w:rsidR="00604151">
        <w:t xml:space="preserve">Australian Public Service Commissioner (APS Commissioner) </w:t>
      </w:r>
      <w:r>
        <w:t xml:space="preserve">before </w:t>
      </w:r>
      <w:proofErr w:type="gramStart"/>
      <w:r>
        <w:t>making a decision</w:t>
      </w:r>
      <w:proofErr w:type="gramEnd"/>
      <w:r>
        <w:t xml:space="preserve"> </w:t>
      </w:r>
      <w:r w:rsidRPr="00C749CC">
        <w:t>to initiate an inquiry under these Proced</w:t>
      </w:r>
      <w:r>
        <w:t>ures.</w:t>
      </w:r>
    </w:p>
    <w:p w14:paraId="2D6C32BE" w14:textId="69C6725D" w:rsidR="00B943D1" w:rsidRDefault="00B943D1" w:rsidP="00B943D1">
      <w:r>
        <w:t>As at 16 October 2023, relevant standards and guidance</w:t>
      </w:r>
      <w:r w:rsidR="00262F7A">
        <w:t xml:space="preserve"> issued by the</w:t>
      </w:r>
      <w:r w:rsidR="00BC3C2D">
        <w:t xml:space="preserve"> APS Commissioner</w:t>
      </w:r>
      <w:r>
        <w:t xml:space="preserve"> includes Chapter 4 of the ‘</w:t>
      </w:r>
      <w:hyperlink r:id="rId13" w:history="1">
        <w:r w:rsidRPr="009269D7">
          <w:rPr>
            <w:rStyle w:val="Hyperlink"/>
          </w:rPr>
          <w:t>Handling Misconduct – A human resource manager’s guide</w:t>
        </w:r>
      </w:hyperlink>
      <w:r>
        <w:t>’.</w:t>
      </w:r>
    </w:p>
    <w:p w14:paraId="3F681DA5" w14:textId="3BBF860E" w:rsidR="00833EB7" w:rsidRDefault="00833EB7" w:rsidP="00F9415B">
      <w:r>
        <w:t xml:space="preserve">Where </w:t>
      </w:r>
      <w:r w:rsidR="00C749CC">
        <w:t>the APS employee</w:t>
      </w:r>
      <w:r w:rsidR="00325A6F">
        <w:t xml:space="preserve"> </w:t>
      </w:r>
      <w:r w:rsidR="003C7EFC">
        <w:t>suspected of breaching the Code</w:t>
      </w:r>
      <w:r w:rsidR="00C749CC">
        <w:t xml:space="preserve"> is an SES employee</w:t>
      </w:r>
      <w:r w:rsidR="003C7EFC">
        <w:t xml:space="preserve">, the Inspector-General must consult the </w:t>
      </w:r>
      <w:r w:rsidR="00604151">
        <w:t xml:space="preserve">APS </w:t>
      </w:r>
      <w:r w:rsidR="00080CFD">
        <w:t xml:space="preserve">Commissioner </w:t>
      </w:r>
      <w:r w:rsidR="003D1DF9">
        <w:t xml:space="preserve">on </w:t>
      </w:r>
      <w:r w:rsidR="000C2955">
        <w:t xml:space="preserve">whether to </w:t>
      </w:r>
      <w:r w:rsidR="00163688">
        <w:t xml:space="preserve">deal with the suspected </w:t>
      </w:r>
      <w:r w:rsidR="00585E05">
        <w:t>breach under these Procedures</w:t>
      </w:r>
      <w:r w:rsidR="00612DCD">
        <w:t xml:space="preserve">, </w:t>
      </w:r>
      <w:r w:rsidR="009D1D00">
        <w:t xml:space="preserve">and on </w:t>
      </w:r>
      <w:r w:rsidR="00612DCD">
        <w:t>any process for doing so.</w:t>
      </w:r>
    </w:p>
    <w:p w14:paraId="5E07B987" w14:textId="7F3EFAB0" w:rsidR="00265278" w:rsidRDefault="00265278" w:rsidP="00265278">
      <w:pPr>
        <w:pStyle w:val="Heading2"/>
      </w:pPr>
      <w:bookmarkStart w:id="11" w:name="_Toc149551310"/>
      <w:r>
        <w:t>2. General process requirements</w:t>
      </w:r>
      <w:bookmarkEnd w:id="11"/>
      <w:r>
        <w:t xml:space="preserve"> </w:t>
      </w:r>
    </w:p>
    <w:p w14:paraId="69654E27" w14:textId="71FD5A68" w:rsidR="00265278" w:rsidRDefault="00265278" w:rsidP="00265278">
      <w:r>
        <w:t xml:space="preserve">The process for determining whether the Code has </w:t>
      </w:r>
      <w:r w:rsidR="00843982">
        <w:t>been</w:t>
      </w:r>
      <w:r>
        <w:t xml:space="preserve"> breached and the process for determining what (if any) sanction applies to a breach </w:t>
      </w:r>
      <w:r w:rsidRPr="003E7BAA">
        <w:t>must be carried out with</w:t>
      </w:r>
      <w:r>
        <w:t xml:space="preserve"> as little formality and as much expedition as a proper consideration of the matter allows. A formal hearing is not required.</w:t>
      </w:r>
    </w:p>
    <w:p w14:paraId="26861607" w14:textId="5A9BF68B" w:rsidR="00BA21FC" w:rsidRDefault="00BA21FC" w:rsidP="00265278">
      <w:r>
        <w:lastRenderedPageBreak/>
        <w:t xml:space="preserve">The person </w:t>
      </w:r>
      <w:r w:rsidR="00FC0CB5">
        <w:t xml:space="preserve">who is suspected of breaching the Code, or against whom sanctions are being considered (hereafter, the </w:t>
      </w:r>
      <w:r w:rsidR="006C0162">
        <w:t>affected</w:t>
      </w:r>
      <w:r w:rsidR="00A011F0">
        <w:t xml:space="preserve"> person)</w:t>
      </w:r>
      <w:r w:rsidR="006C0162">
        <w:t>,</w:t>
      </w:r>
      <w:r>
        <w:t xml:space="preserve"> is allowed to have a support person.</w:t>
      </w:r>
    </w:p>
    <w:p w14:paraId="6E740D66" w14:textId="297A7747" w:rsidR="00265278" w:rsidRDefault="00265278" w:rsidP="00265278">
      <w:r>
        <w:t xml:space="preserve">The processes must afford procedural fairness to the </w:t>
      </w:r>
      <w:r w:rsidR="006C0162">
        <w:t>affected</w:t>
      </w:r>
      <w:r w:rsidR="00775995">
        <w:t xml:space="preserve"> person</w:t>
      </w:r>
      <w:r>
        <w:t>.</w:t>
      </w:r>
    </w:p>
    <w:p w14:paraId="7532FD16" w14:textId="77777777" w:rsidR="00265278" w:rsidRDefault="00265278" w:rsidP="00D10A44">
      <w:pPr>
        <w:spacing w:after="120"/>
      </w:pPr>
      <w:r>
        <w:t xml:space="preserve">Procedural fairness generally requires that: </w:t>
      </w:r>
    </w:p>
    <w:p w14:paraId="60046A64" w14:textId="51E99894" w:rsidR="00853D3D" w:rsidRDefault="00265278" w:rsidP="00265278">
      <w:pPr>
        <w:pStyle w:val="ListParagraph"/>
        <w:numPr>
          <w:ilvl w:val="0"/>
          <w:numId w:val="18"/>
        </w:numPr>
      </w:pPr>
      <w:r>
        <w:t xml:space="preserve">the </w:t>
      </w:r>
      <w:r w:rsidR="006C0162">
        <w:t xml:space="preserve">affected </w:t>
      </w:r>
      <w:r>
        <w:t xml:space="preserve">person must be informed of </w:t>
      </w:r>
      <w:r w:rsidR="003362FD">
        <w:t xml:space="preserve">any </w:t>
      </w:r>
      <w:r>
        <w:t xml:space="preserve">material </w:t>
      </w:r>
      <w:r w:rsidR="003362FD">
        <w:t xml:space="preserve">before </w:t>
      </w:r>
      <w:r w:rsidR="00EC1A12">
        <w:t xml:space="preserve">the decision-maker </w:t>
      </w:r>
      <w:r>
        <w:t>that</w:t>
      </w:r>
      <w:r w:rsidR="00372A05">
        <w:t xml:space="preserve"> is</w:t>
      </w:r>
      <w:r w:rsidR="00853D3D">
        <w:t>:</w:t>
      </w:r>
      <w:r w:rsidR="00BC50D7">
        <w:t xml:space="preserve"> </w:t>
      </w:r>
    </w:p>
    <w:p w14:paraId="2B74F0D8" w14:textId="097B8CFB" w:rsidR="00853D3D" w:rsidRDefault="00CE3E7A" w:rsidP="00853D3D">
      <w:pPr>
        <w:pStyle w:val="ListParagraph"/>
        <w:numPr>
          <w:ilvl w:val="1"/>
          <w:numId w:val="18"/>
        </w:numPr>
      </w:pPr>
      <w:r>
        <w:t xml:space="preserve">critical of </w:t>
      </w:r>
      <w:r w:rsidR="00265278">
        <w:t xml:space="preserve">the person or </w:t>
      </w:r>
      <w:r>
        <w:t xml:space="preserve">contrary to </w:t>
      </w:r>
      <w:r w:rsidR="00265278">
        <w:t>their interests</w:t>
      </w:r>
      <w:r w:rsidR="00BC50D7">
        <w:t xml:space="preserve">, </w:t>
      </w:r>
      <w:r w:rsidR="00265278">
        <w:t xml:space="preserve">and </w:t>
      </w:r>
    </w:p>
    <w:p w14:paraId="402418B9" w14:textId="52402360" w:rsidR="00265278" w:rsidRDefault="00265278" w:rsidP="00853D3D">
      <w:pPr>
        <w:pStyle w:val="ListParagraph"/>
        <w:numPr>
          <w:ilvl w:val="1"/>
          <w:numId w:val="18"/>
        </w:numPr>
      </w:pPr>
      <w:r>
        <w:t xml:space="preserve">credible, relevant and </w:t>
      </w:r>
      <w:proofErr w:type="gramStart"/>
      <w:r>
        <w:t>significant</w:t>
      </w:r>
      <w:r w:rsidR="00EC1A12">
        <w:t>;</w:t>
      </w:r>
      <w:proofErr w:type="gramEnd"/>
      <w:r w:rsidR="00EC1A12">
        <w:t xml:space="preserve"> </w:t>
      </w:r>
    </w:p>
    <w:p w14:paraId="3ABF6A22" w14:textId="5B02C7E4" w:rsidR="0072105B" w:rsidRDefault="00265278" w:rsidP="00176268">
      <w:pPr>
        <w:pStyle w:val="ListParagraph"/>
        <w:numPr>
          <w:ilvl w:val="0"/>
          <w:numId w:val="18"/>
        </w:numPr>
      </w:pPr>
      <w:r>
        <w:t xml:space="preserve">the </w:t>
      </w:r>
      <w:r w:rsidR="00A417A6">
        <w:t xml:space="preserve">affected </w:t>
      </w:r>
      <w:r>
        <w:t xml:space="preserve">person is provided with a reasonable opportunity to respond and put their case, in accordance with these </w:t>
      </w:r>
      <w:r w:rsidR="00117673">
        <w:t>P</w:t>
      </w:r>
      <w:r>
        <w:t>rocedures, before any decision is made</w:t>
      </w:r>
      <w:r w:rsidR="0072105B">
        <w:t>;</w:t>
      </w:r>
    </w:p>
    <w:p w14:paraId="6753EC8C" w14:textId="7939D579" w:rsidR="00265278" w:rsidRDefault="00265278" w:rsidP="00176268">
      <w:pPr>
        <w:pStyle w:val="ListParagraph"/>
        <w:numPr>
          <w:ilvl w:val="0"/>
          <w:numId w:val="18"/>
        </w:numPr>
      </w:pPr>
      <w:r>
        <w:t>the decision-maker acts without bias or an appearance of bias</w:t>
      </w:r>
      <w:r w:rsidR="0072105B">
        <w:t>; and</w:t>
      </w:r>
    </w:p>
    <w:p w14:paraId="2AEA6943" w14:textId="15894337" w:rsidR="0079714D" w:rsidRDefault="00265278" w:rsidP="0079714D">
      <w:pPr>
        <w:pStyle w:val="ListParagraph"/>
        <w:numPr>
          <w:ilvl w:val="0"/>
          <w:numId w:val="18"/>
        </w:numPr>
      </w:pPr>
      <w:r>
        <w:t>there is logically probative evidence</w:t>
      </w:r>
      <w:r w:rsidR="00B1014E">
        <w:t xml:space="preserve"> (</w:t>
      </w:r>
      <w:proofErr w:type="gramStart"/>
      <w:r w:rsidR="00853D3D">
        <w:t>i.e.</w:t>
      </w:r>
      <w:proofErr w:type="gramEnd"/>
      <w:r w:rsidR="00B1014E">
        <w:t xml:space="preserve"> credible, relevant and significant)</w:t>
      </w:r>
      <w:r>
        <w:t xml:space="preserve"> to support the making, on the balance of probabilities, of </w:t>
      </w:r>
      <w:r w:rsidR="006E45A0">
        <w:t>critical</w:t>
      </w:r>
      <w:r>
        <w:t xml:space="preserve"> findings.</w:t>
      </w:r>
    </w:p>
    <w:p w14:paraId="2B177A81" w14:textId="3F0916A1" w:rsidR="00265278" w:rsidRDefault="006C0162" w:rsidP="00265278">
      <w:r>
        <w:t xml:space="preserve">Where the affected person is </w:t>
      </w:r>
      <w:r w:rsidR="00265278">
        <w:t>a non-SES employee, the decision-maker may otherwise conduct the process as they see fit.</w:t>
      </w:r>
    </w:p>
    <w:p w14:paraId="15658C62" w14:textId="2174891B" w:rsidR="00265278" w:rsidRDefault="00F02724" w:rsidP="00F9415B">
      <w:r>
        <w:t>Where the affected person</w:t>
      </w:r>
      <w:r w:rsidR="00265278">
        <w:t xml:space="preserve"> is an SES employee, the decision-maker may otherwise conduct the process as they see fit </w:t>
      </w:r>
      <w:r w:rsidR="00265278" w:rsidRPr="008641B0">
        <w:rPr>
          <w:u w:val="single"/>
        </w:rPr>
        <w:t>subject to</w:t>
      </w:r>
      <w:r w:rsidR="00265278">
        <w:t xml:space="preserve"> any requirements agreed to by the Inspector-General </w:t>
      </w:r>
      <w:r w:rsidR="009E04C0">
        <w:t>arising</w:t>
      </w:r>
      <w:r w:rsidR="00265278">
        <w:t xml:space="preserve"> from consultation </w:t>
      </w:r>
      <w:r w:rsidR="007A7745">
        <w:t>with</w:t>
      </w:r>
      <w:r w:rsidR="00265278">
        <w:t xml:space="preserve"> the APS Commissioner</w:t>
      </w:r>
      <w:r w:rsidR="003215B1">
        <w:t xml:space="preserve">. </w:t>
      </w:r>
    </w:p>
    <w:p w14:paraId="7F555A95" w14:textId="5520A208" w:rsidR="005C57C7" w:rsidRDefault="00265278" w:rsidP="005C57C7">
      <w:pPr>
        <w:pStyle w:val="Heading2"/>
      </w:pPr>
      <w:bookmarkStart w:id="12" w:name="_Toc149551311"/>
      <w:r>
        <w:t>3</w:t>
      </w:r>
      <w:r w:rsidR="00FD0B27">
        <w:t xml:space="preserve">. </w:t>
      </w:r>
      <w:r w:rsidR="000F293E">
        <w:t xml:space="preserve">Selection of </w:t>
      </w:r>
      <w:r w:rsidR="0052190E">
        <w:t xml:space="preserve">breach </w:t>
      </w:r>
      <w:r w:rsidR="000F293E">
        <w:t>decision-maker</w:t>
      </w:r>
      <w:bookmarkEnd w:id="12"/>
    </w:p>
    <w:p w14:paraId="0136C38E" w14:textId="7298C46B" w:rsidR="000F293E" w:rsidRDefault="000F293E" w:rsidP="000F293E">
      <w:r>
        <w:t xml:space="preserve">The </w:t>
      </w:r>
      <w:r w:rsidR="001A4065">
        <w:t>Inspector</w:t>
      </w:r>
      <w:r>
        <w:t xml:space="preserve">-General </w:t>
      </w:r>
      <w:r w:rsidR="00043B4F">
        <w:t>must</w:t>
      </w:r>
      <w:r w:rsidR="00537326">
        <w:t>, in writing,</w:t>
      </w:r>
      <w:r w:rsidR="00043B4F">
        <w:t xml:space="preserve"> </w:t>
      </w:r>
      <w:r w:rsidR="00537326">
        <w:t xml:space="preserve">select </w:t>
      </w:r>
      <w:r>
        <w:t>the person who determines whether an APS employee has breached the Code</w:t>
      </w:r>
      <w:r w:rsidR="00537326">
        <w:t>.</w:t>
      </w:r>
      <w:r w:rsidR="00733183">
        <w:t xml:space="preserve"> They will be known as</w:t>
      </w:r>
      <w:r>
        <w:t xml:space="preserve"> the breach decision-maker. </w:t>
      </w:r>
    </w:p>
    <w:p w14:paraId="6E81848A" w14:textId="6A81EBB6" w:rsidR="00733183" w:rsidRDefault="00733183" w:rsidP="000F293E">
      <w:r>
        <w:t xml:space="preserve">The Inspector-General must </w:t>
      </w:r>
      <w:r w:rsidR="004E347F">
        <w:t xml:space="preserve">be satisfied that the </w:t>
      </w:r>
      <w:r>
        <w:t xml:space="preserve">breach decision-maker </w:t>
      </w:r>
      <w:r w:rsidR="00B40C5F">
        <w:t xml:space="preserve">is, and appears to be, independent and unbiased. </w:t>
      </w:r>
    </w:p>
    <w:p w14:paraId="76499FE3" w14:textId="6A592608" w:rsidR="0050181E" w:rsidRDefault="00B40C5F" w:rsidP="000F293E">
      <w:r>
        <w:t>The Inspector-General may select a non-APS employee as the breach decision maker.</w:t>
      </w:r>
    </w:p>
    <w:p w14:paraId="0CFEB777" w14:textId="0CA44CC8" w:rsidR="000B360D" w:rsidRDefault="004C62DC" w:rsidP="00F67E7D">
      <w:pPr>
        <w:spacing w:after="120"/>
      </w:pPr>
      <w:r>
        <w:t>Where</w:t>
      </w:r>
      <w:r w:rsidR="00C93861">
        <w:t xml:space="preserve"> </w:t>
      </w:r>
      <w:r w:rsidR="00A417A6">
        <w:t>the affected person is a</w:t>
      </w:r>
      <w:r w:rsidR="00F67E7D">
        <w:t xml:space="preserve"> SES employee</w:t>
      </w:r>
      <w:r>
        <w:t>, the Inspector-General must</w:t>
      </w:r>
      <w:r w:rsidR="000B360D">
        <w:t>:</w:t>
      </w:r>
    </w:p>
    <w:p w14:paraId="231ED2B1" w14:textId="486F35E9" w:rsidR="00C93861" w:rsidRDefault="004C62DC" w:rsidP="000B360D">
      <w:pPr>
        <w:pStyle w:val="ListParagraph"/>
        <w:numPr>
          <w:ilvl w:val="0"/>
          <w:numId w:val="19"/>
        </w:numPr>
      </w:pPr>
      <w:r>
        <w:t xml:space="preserve">consult the </w:t>
      </w:r>
      <w:r w:rsidR="00FA234A">
        <w:t xml:space="preserve">APS </w:t>
      </w:r>
      <w:r>
        <w:t>Commission</w:t>
      </w:r>
      <w:r w:rsidR="00080CFD">
        <w:t>er</w:t>
      </w:r>
      <w:r>
        <w:t xml:space="preserve"> </w:t>
      </w:r>
      <w:r w:rsidR="001D0171">
        <w:t xml:space="preserve">on the </w:t>
      </w:r>
      <w:r w:rsidR="002A2D96">
        <w:t>process for determining breach, including the selection of the breach decision-maker</w:t>
      </w:r>
      <w:r w:rsidR="000B360D">
        <w:t>; and</w:t>
      </w:r>
    </w:p>
    <w:p w14:paraId="7E29D380" w14:textId="74EB5B41" w:rsidR="000B360D" w:rsidRDefault="00D93696" w:rsidP="000B360D">
      <w:pPr>
        <w:pStyle w:val="ListParagraph"/>
        <w:numPr>
          <w:ilvl w:val="0"/>
          <w:numId w:val="19"/>
        </w:numPr>
      </w:pPr>
      <w:r>
        <w:t>select a breach decision-maker who is not an employee of the OIGAC.</w:t>
      </w:r>
    </w:p>
    <w:p w14:paraId="0F4C1496" w14:textId="79C699A4" w:rsidR="000F293E" w:rsidRDefault="000F293E" w:rsidP="000F293E">
      <w:r>
        <w:t xml:space="preserve">The breach decision-maker may seek the assistance of an investigator with matters including investigating the alleged breach, gathering </w:t>
      </w:r>
      <w:proofErr w:type="gramStart"/>
      <w:r>
        <w:t>evidence</w:t>
      </w:r>
      <w:proofErr w:type="gramEnd"/>
      <w:r>
        <w:t xml:space="preserve"> and making a report of recommended factual findings to the breach decision-maker. </w:t>
      </w:r>
    </w:p>
    <w:p w14:paraId="326EC774" w14:textId="45086644" w:rsidR="0050181E" w:rsidRDefault="002B76BD" w:rsidP="0050181E">
      <w:r>
        <w:t>If t</w:t>
      </w:r>
      <w:r w:rsidR="0050181E" w:rsidRPr="0050181E">
        <w:t xml:space="preserve">he breach decision-maker </w:t>
      </w:r>
      <w:r>
        <w:t xml:space="preserve">is not the Inspector-General, they </w:t>
      </w:r>
      <w:r w:rsidR="0050181E" w:rsidRPr="0050181E">
        <w:t xml:space="preserve">must advise the Inspector-General </w:t>
      </w:r>
      <w:r w:rsidR="0050181E">
        <w:t>in writing if at any stage in the process they consider that they may not be independent and unbiased or if they consider that they may reasonably be perceived not to be independent and unbiased</w:t>
      </w:r>
      <w:r w:rsidR="00CB0D44">
        <w:t>.</w:t>
      </w:r>
    </w:p>
    <w:p w14:paraId="3FA08996" w14:textId="244629D7" w:rsidR="001337AA" w:rsidRDefault="00704FC1" w:rsidP="00F82D4F">
      <w:pPr>
        <w:pStyle w:val="Heading2"/>
      </w:pPr>
      <w:bookmarkStart w:id="13" w:name="_Toc149551312"/>
      <w:r>
        <w:t xml:space="preserve">4. </w:t>
      </w:r>
      <w:r w:rsidR="00B55019">
        <w:t>Determining breach</w:t>
      </w:r>
      <w:r>
        <w:t xml:space="preserve"> – specific requirements</w:t>
      </w:r>
      <w:bookmarkEnd w:id="13"/>
    </w:p>
    <w:p w14:paraId="4A46017B" w14:textId="5B1057C2" w:rsidR="00D064A2" w:rsidRDefault="00C6684C" w:rsidP="001C21F7">
      <w:pPr>
        <w:keepNext/>
        <w:spacing w:after="120"/>
      </w:pPr>
      <w:r>
        <w:t xml:space="preserve">The breach process must comply with the </w:t>
      </w:r>
      <w:r w:rsidR="001B7540">
        <w:t>requirements in ‘2. G</w:t>
      </w:r>
      <w:r>
        <w:t>eneral process requirements</w:t>
      </w:r>
      <w:r w:rsidR="001B7540">
        <w:t>’</w:t>
      </w:r>
      <w:r>
        <w:t>.</w:t>
      </w:r>
    </w:p>
    <w:p w14:paraId="3FC9C72D" w14:textId="1CB0EB77" w:rsidR="00BF4CA8" w:rsidRDefault="00170830" w:rsidP="001C21F7">
      <w:pPr>
        <w:keepNext/>
        <w:spacing w:after="120"/>
      </w:pPr>
      <w:r>
        <w:t xml:space="preserve">Before the breach decision-maker determines whether a breach </w:t>
      </w:r>
      <w:r w:rsidR="00BF4CA8">
        <w:t>has occurred, they mus</w:t>
      </w:r>
      <w:r w:rsidR="0023361E">
        <w:t>t</w:t>
      </w:r>
      <w:r w:rsidR="00BF4CA8">
        <w:t>:</w:t>
      </w:r>
    </w:p>
    <w:p w14:paraId="0CDEF3B0" w14:textId="74603444" w:rsidR="00BF4CA8" w:rsidRDefault="0023361E" w:rsidP="00F82D4F">
      <w:pPr>
        <w:pStyle w:val="ListParagraph"/>
        <w:numPr>
          <w:ilvl w:val="0"/>
          <w:numId w:val="22"/>
        </w:numPr>
      </w:pPr>
      <w:r>
        <w:t xml:space="preserve">take reasonable steps to </w:t>
      </w:r>
      <w:r w:rsidR="0016341A">
        <w:t xml:space="preserve">inform the </w:t>
      </w:r>
      <w:r w:rsidR="000F443E">
        <w:t xml:space="preserve">affected </w:t>
      </w:r>
      <w:r w:rsidR="0016341A">
        <w:t xml:space="preserve">person of: </w:t>
      </w:r>
    </w:p>
    <w:p w14:paraId="22342D58" w14:textId="77777777" w:rsidR="00634EAE" w:rsidRDefault="0016341A" w:rsidP="00BF4CA8">
      <w:pPr>
        <w:pStyle w:val="ListParagraph"/>
        <w:numPr>
          <w:ilvl w:val="1"/>
          <w:numId w:val="22"/>
        </w:numPr>
      </w:pPr>
      <w:r>
        <w:lastRenderedPageBreak/>
        <w:t xml:space="preserve">the details of the suspected breach of the Code (including any subsequent variation of those details); and </w:t>
      </w:r>
    </w:p>
    <w:p w14:paraId="61E86E78" w14:textId="383F7392" w:rsidR="00634EAE" w:rsidRDefault="0016341A" w:rsidP="00F82D4F">
      <w:pPr>
        <w:pStyle w:val="ListParagraph"/>
        <w:numPr>
          <w:ilvl w:val="1"/>
          <w:numId w:val="22"/>
        </w:numPr>
      </w:pPr>
      <w:r>
        <w:t xml:space="preserve">where the </w:t>
      </w:r>
      <w:r w:rsidR="000F443E">
        <w:t xml:space="preserve">affected </w:t>
      </w:r>
      <w:r>
        <w:t>person is an APS employee, the sanctions that may be imposed on them under subsection 15(1) of the Act; and</w:t>
      </w:r>
    </w:p>
    <w:p w14:paraId="4D03150C" w14:textId="50BD8A71" w:rsidR="00AC3D2A" w:rsidRDefault="0016341A" w:rsidP="0023361E">
      <w:pPr>
        <w:pStyle w:val="ListParagraph"/>
        <w:numPr>
          <w:ilvl w:val="0"/>
          <w:numId w:val="22"/>
        </w:numPr>
      </w:pPr>
      <w:r>
        <w:t>give the</w:t>
      </w:r>
      <w:r w:rsidR="000F443E">
        <w:t xml:space="preserve"> affected</w:t>
      </w:r>
      <w:r>
        <w:t xml:space="preserve"> person a reasonable opportunity to make a written statement, or provide further evidence in relation to the suspected breach, within 7 calendar days or any longer period that is allowed by the breach decision-maker.</w:t>
      </w:r>
    </w:p>
    <w:p w14:paraId="7874DA1B" w14:textId="1E0423C5" w:rsidR="00F82D4F" w:rsidRDefault="0016341A" w:rsidP="00F82D4F">
      <w:r>
        <w:t>A</w:t>
      </w:r>
      <w:r w:rsidR="000F443E">
        <w:t xml:space="preserve">n affected </w:t>
      </w:r>
      <w:r w:rsidR="00FA234A">
        <w:t xml:space="preserve">person </w:t>
      </w:r>
      <w:r>
        <w:t>who does not make a statement in relation to the suspected breach is not, only for that reason, to be taken to have admitted committing the suspected breach.</w:t>
      </w:r>
    </w:p>
    <w:p w14:paraId="4390FB18" w14:textId="78BA7884" w:rsidR="00D742EB" w:rsidRDefault="00D742EB" w:rsidP="00F82D4F">
      <w:r>
        <w:t xml:space="preserve">Once the breach decision-maker </w:t>
      </w:r>
      <w:r w:rsidR="00D10A44">
        <w:t>has</w:t>
      </w:r>
      <w:r>
        <w:t xml:space="preserve"> determined whether a breach </w:t>
      </w:r>
      <w:r w:rsidR="00D10A44">
        <w:t>has occurred</w:t>
      </w:r>
      <w:r>
        <w:t xml:space="preserve">, they must inform the </w:t>
      </w:r>
      <w:r w:rsidR="000F443E">
        <w:t xml:space="preserve">affected </w:t>
      </w:r>
      <w:r>
        <w:t xml:space="preserve">person of the determination in writing. If the </w:t>
      </w:r>
      <w:r w:rsidR="00D10A44">
        <w:t>breach</w:t>
      </w:r>
      <w:r>
        <w:t xml:space="preserve"> decision-maker has </w:t>
      </w:r>
      <w:r w:rsidR="00D10A44">
        <w:t>determined that a breach has occurred</w:t>
      </w:r>
      <w:r>
        <w:t>, they must also provide a statement of reasons.</w:t>
      </w:r>
    </w:p>
    <w:p w14:paraId="7EE39E82" w14:textId="56B5E864" w:rsidR="001D368B" w:rsidRDefault="009935D3" w:rsidP="009935D3">
      <w:pPr>
        <w:pStyle w:val="Heading2"/>
      </w:pPr>
      <w:bookmarkStart w:id="14" w:name="_Toc149551313"/>
      <w:r>
        <w:t xml:space="preserve">5. Selection of sanction </w:t>
      </w:r>
      <w:r w:rsidR="00516F69">
        <w:t>decision-maker</w:t>
      </w:r>
      <w:bookmarkEnd w:id="14"/>
    </w:p>
    <w:p w14:paraId="36B85315" w14:textId="352A0E12" w:rsidR="00C16926" w:rsidRDefault="00C16926" w:rsidP="003E7BAA">
      <w:r>
        <w:t xml:space="preserve">If the breach decision-maker has determined that a </w:t>
      </w:r>
      <w:r w:rsidR="00EA6843">
        <w:t xml:space="preserve">breach has occurred, the Inspector-General must decide whether </w:t>
      </w:r>
      <w:r w:rsidR="00EA65E7">
        <w:t xml:space="preserve">to </w:t>
      </w:r>
      <w:r w:rsidR="00673964">
        <w:t>personally</w:t>
      </w:r>
      <w:r w:rsidR="009B4D28">
        <w:t xml:space="preserve"> exercise the power to</w:t>
      </w:r>
      <w:r w:rsidR="00673964">
        <w:t xml:space="preserve"> </w:t>
      </w:r>
      <w:r w:rsidR="00F86BBC">
        <w:t xml:space="preserve">determine what, if any, sanction to impose. Alternatively, they may </w:t>
      </w:r>
      <w:r w:rsidR="004E5B1F">
        <w:t xml:space="preserve">delegate </w:t>
      </w:r>
      <w:r w:rsidR="00F86BBC">
        <w:t xml:space="preserve">to another person </w:t>
      </w:r>
      <w:r w:rsidR="004E5B1F">
        <w:t xml:space="preserve">the power under subsection 15(1) </w:t>
      </w:r>
      <w:r w:rsidR="00673964">
        <w:t xml:space="preserve">of the Act </w:t>
      </w:r>
      <w:r w:rsidR="004E5B1F">
        <w:t xml:space="preserve">to </w:t>
      </w:r>
      <w:r w:rsidR="00F86BBC">
        <w:t>determine what, if any, sanction to impose.</w:t>
      </w:r>
    </w:p>
    <w:p w14:paraId="22CDCB16" w14:textId="58ABCC6E" w:rsidR="004E5B1F" w:rsidRDefault="00F86BBC" w:rsidP="003E7BAA">
      <w:r>
        <w:t>The person who determines what, if any, sanction to impose will be called the sanction decision-</w:t>
      </w:r>
      <w:r w:rsidRPr="009B4D28">
        <w:t>maker.</w:t>
      </w:r>
    </w:p>
    <w:p w14:paraId="6FAC7D9B" w14:textId="01299A2A" w:rsidR="001C5FEA" w:rsidRPr="009B4D28" w:rsidRDefault="001C5FEA" w:rsidP="003E7BAA">
      <w:r>
        <w:t>The Inspector-General must be satisfied that the sanction decision-maker is, and appears to be, independent and unbiased.</w:t>
      </w:r>
    </w:p>
    <w:p w14:paraId="7BEFE91A" w14:textId="54CF19D6" w:rsidR="00F86BBC" w:rsidRPr="002B76BD" w:rsidRDefault="00F86BBC" w:rsidP="003E7BAA">
      <w:r w:rsidRPr="009B4D28">
        <w:t xml:space="preserve">A non-APS employee may be selected as the sanction </w:t>
      </w:r>
      <w:r w:rsidR="00936CAC" w:rsidRPr="009B4D28">
        <w:t>decision-maker</w:t>
      </w:r>
      <w:r w:rsidRPr="009B4D28">
        <w:t xml:space="preserve">. </w:t>
      </w:r>
      <w:r w:rsidR="00936CAC" w:rsidRPr="009B4D28">
        <w:t xml:space="preserve">However, </w:t>
      </w:r>
      <w:r w:rsidRPr="009B4D28">
        <w:t>if the proposed sanction</w:t>
      </w:r>
      <w:r w:rsidR="00936CAC" w:rsidRPr="009B4D28">
        <w:t xml:space="preserve"> decision-maker</w:t>
      </w:r>
      <w:r w:rsidRPr="009B4D28">
        <w:t xml:space="preserve"> is a non-APS employee</w:t>
      </w:r>
      <w:r w:rsidR="00FE71C8" w:rsidRPr="009B4D28">
        <w:t xml:space="preserve"> the Inspector-General must obtain written approval from the </w:t>
      </w:r>
      <w:r w:rsidR="003F2F16" w:rsidRPr="009B4D28">
        <w:t xml:space="preserve">APS </w:t>
      </w:r>
      <w:r w:rsidR="00FE71C8" w:rsidRPr="002B76BD">
        <w:t>Commissioner</w:t>
      </w:r>
      <w:r w:rsidRPr="002B76BD">
        <w:t xml:space="preserve"> </w:t>
      </w:r>
      <w:r w:rsidR="00FE71C8" w:rsidRPr="002B76BD">
        <w:t xml:space="preserve">prior to </w:t>
      </w:r>
      <w:r w:rsidR="00650DA7" w:rsidRPr="002B76BD">
        <w:t xml:space="preserve">making the </w:t>
      </w:r>
      <w:r w:rsidR="001A4240" w:rsidRPr="002B76BD">
        <w:t>delegation.</w:t>
      </w:r>
      <w:r w:rsidR="00BC625D" w:rsidRPr="002B76BD">
        <w:t xml:space="preserve"> </w:t>
      </w:r>
    </w:p>
    <w:p w14:paraId="365B72DA" w14:textId="0B62C98C" w:rsidR="003E7BAA" w:rsidRPr="002B76BD" w:rsidRDefault="00F644E9" w:rsidP="003E7BAA">
      <w:r w:rsidRPr="002B76BD">
        <w:t>If the</w:t>
      </w:r>
      <w:r w:rsidR="003E7BAA" w:rsidRPr="002B76BD">
        <w:t xml:space="preserve"> sanction </w:t>
      </w:r>
      <w:r w:rsidR="00700B83" w:rsidRPr="002B76BD">
        <w:t xml:space="preserve">decision-maker is not the Inspector-General, the Inspector-General </w:t>
      </w:r>
      <w:r w:rsidR="00485A67" w:rsidRPr="002B76BD">
        <w:t xml:space="preserve">must delegate to the sanction decision-maker the </w:t>
      </w:r>
      <w:r w:rsidR="003E7BAA" w:rsidRPr="002B76BD">
        <w:t xml:space="preserve">power under the Act to impose sanctions as well as any related powers, such as </w:t>
      </w:r>
      <w:r w:rsidR="00E55E65" w:rsidRPr="002B76BD">
        <w:t>the power to terminate employment under</w:t>
      </w:r>
      <w:r w:rsidR="003E7BAA" w:rsidRPr="002B76BD">
        <w:t xml:space="preserve"> section 29 of the Act. </w:t>
      </w:r>
    </w:p>
    <w:p w14:paraId="668C9B02" w14:textId="7DB4B9AF" w:rsidR="003E7BAA" w:rsidRDefault="00485A67" w:rsidP="003E7BAA">
      <w:r w:rsidRPr="002B76BD">
        <w:t xml:space="preserve">If the </w:t>
      </w:r>
      <w:r w:rsidR="00F644E9" w:rsidRPr="002B76BD">
        <w:t>sanction decision</w:t>
      </w:r>
      <w:r w:rsidR="007E5239">
        <w:t>-</w:t>
      </w:r>
      <w:r w:rsidR="00F644E9" w:rsidRPr="002B76BD">
        <w:t>maker is not the Inspector-General, the</w:t>
      </w:r>
      <w:r w:rsidR="003E7BAA" w:rsidRPr="002B76BD">
        <w:t xml:space="preserve"> sanction </w:t>
      </w:r>
      <w:r w:rsidR="00F644E9" w:rsidRPr="002B76BD">
        <w:t xml:space="preserve">decision-maker </w:t>
      </w:r>
      <w:r w:rsidR="003E7BAA" w:rsidRPr="002B76BD">
        <w:t>must advise the Inspector-General in writing if at any stage in the process they consider that they may not be independent and unbiased or if they consider that they may reasonably be perceived not to be independent and unbiased, for example</w:t>
      </w:r>
      <w:r w:rsidR="003E7BAA">
        <w:t xml:space="preserve"> if they are a witness in the matter.</w:t>
      </w:r>
    </w:p>
    <w:p w14:paraId="17FB9437" w14:textId="641D1578" w:rsidR="0016341A" w:rsidRDefault="00B55019" w:rsidP="00855AF3">
      <w:pPr>
        <w:pStyle w:val="Heading2"/>
        <w:keepLines w:val="0"/>
      </w:pPr>
      <w:bookmarkStart w:id="15" w:name="_Toc149551314"/>
      <w:r>
        <w:t xml:space="preserve">6. </w:t>
      </w:r>
      <w:r w:rsidR="00325A6F">
        <w:t>D</w:t>
      </w:r>
      <w:r w:rsidR="000620E1">
        <w:t>etermining</w:t>
      </w:r>
      <w:r w:rsidR="0016341A">
        <w:t xml:space="preserve"> sanction </w:t>
      </w:r>
      <w:r w:rsidR="00317AE5">
        <w:t>– specific requirements</w:t>
      </w:r>
      <w:bookmarkEnd w:id="15"/>
    </w:p>
    <w:p w14:paraId="2F10E416" w14:textId="7A92815C" w:rsidR="001B7540" w:rsidRDefault="001B7540" w:rsidP="00855AF3">
      <w:pPr>
        <w:keepNext/>
        <w:spacing w:after="120"/>
      </w:pPr>
      <w:r>
        <w:t>The sanction process must comply with the requirements in ‘2. General process requirements’.</w:t>
      </w:r>
    </w:p>
    <w:p w14:paraId="052AFEE0" w14:textId="2C7C13D0" w:rsidR="00AC3D2A" w:rsidRDefault="00533858" w:rsidP="00855AF3">
      <w:pPr>
        <w:keepNext/>
        <w:spacing w:after="120"/>
      </w:pPr>
      <w:r>
        <w:t xml:space="preserve">Before the </w:t>
      </w:r>
      <w:r w:rsidR="005F356C">
        <w:t>sanction decision-maker determines what, if any, sanction to impose they must</w:t>
      </w:r>
      <w:r w:rsidR="0016341A">
        <w:t xml:space="preserve">: </w:t>
      </w:r>
    </w:p>
    <w:p w14:paraId="15CEF6DB" w14:textId="77777777" w:rsidR="00D077E5" w:rsidRDefault="0016341A" w:rsidP="00855AF3">
      <w:pPr>
        <w:pStyle w:val="ListParagraph"/>
        <w:keepNext/>
        <w:numPr>
          <w:ilvl w:val="1"/>
          <w:numId w:val="22"/>
        </w:numPr>
      </w:pPr>
      <w:r>
        <w:t xml:space="preserve">inform the employee of: </w:t>
      </w:r>
    </w:p>
    <w:p w14:paraId="4C627220" w14:textId="77777777" w:rsidR="00D077E5" w:rsidRDefault="0016341A" w:rsidP="00855AF3">
      <w:pPr>
        <w:pStyle w:val="ListParagraph"/>
        <w:keepNext/>
        <w:numPr>
          <w:ilvl w:val="2"/>
          <w:numId w:val="22"/>
        </w:numPr>
      </w:pPr>
      <w:r>
        <w:t xml:space="preserve">the </w:t>
      </w:r>
      <w:r w:rsidR="00625982">
        <w:t xml:space="preserve">breach </w:t>
      </w:r>
      <w:r>
        <w:t>determination</w:t>
      </w:r>
      <w:r w:rsidR="00625982">
        <w:t xml:space="preserve"> to which the sanction </w:t>
      </w:r>
      <w:r w:rsidR="00D077E5">
        <w:t>process relates</w:t>
      </w:r>
      <w:r>
        <w:t xml:space="preserve">; </w:t>
      </w:r>
    </w:p>
    <w:p w14:paraId="456C8F0A" w14:textId="77777777" w:rsidR="00D077E5" w:rsidRDefault="0016341A" w:rsidP="00855AF3">
      <w:pPr>
        <w:pStyle w:val="ListParagraph"/>
        <w:keepNext/>
        <w:numPr>
          <w:ilvl w:val="2"/>
          <w:numId w:val="22"/>
        </w:numPr>
      </w:pPr>
      <w:r>
        <w:t xml:space="preserve">the sanction or sanctions that are under consideration; and </w:t>
      </w:r>
    </w:p>
    <w:p w14:paraId="144A87C9" w14:textId="71730677" w:rsidR="00D077E5" w:rsidRDefault="0016341A" w:rsidP="0016341A">
      <w:pPr>
        <w:pStyle w:val="ListParagraph"/>
        <w:numPr>
          <w:ilvl w:val="2"/>
          <w:numId w:val="22"/>
        </w:numPr>
      </w:pPr>
      <w:r>
        <w:t xml:space="preserve">the factors that are under consideration in determining any sanction to be imposed; and </w:t>
      </w:r>
    </w:p>
    <w:p w14:paraId="2CEFABBE" w14:textId="0A47D7CE" w:rsidR="00360D66" w:rsidRDefault="0016341A" w:rsidP="00D077E5">
      <w:pPr>
        <w:pStyle w:val="ListParagraph"/>
        <w:numPr>
          <w:ilvl w:val="1"/>
          <w:numId w:val="22"/>
        </w:numPr>
      </w:pPr>
      <w:r>
        <w:lastRenderedPageBreak/>
        <w:t>give the employee a reasonable opportunity to make a statement in relation to the sanction or sanctions under consideration within 7 calendar days, or any longer period as is allowed by the sanction delegate.</w:t>
      </w:r>
    </w:p>
    <w:p w14:paraId="22AB312D" w14:textId="68075FFF" w:rsidR="00AC3D2A" w:rsidRDefault="0016341A" w:rsidP="00EB3B19">
      <w:pPr>
        <w:spacing w:after="120"/>
      </w:pPr>
      <w:r>
        <w:t xml:space="preserve">Alternatively, </w:t>
      </w:r>
      <w:r w:rsidR="000A3462">
        <w:t>the</w:t>
      </w:r>
      <w:r>
        <w:t xml:space="preserve"> sanction </w:t>
      </w:r>
      <w:r w:rsidR="000A3462">
        <w:t>decision-maker may impose no sanction</w:t>
      </w:r>
      <w:r w:rsidR="005E2E98">
        <w:t xml:space="preserve">. They may either decide </w:t>
      </w:r>
      <w:r w:rsidR="00D149E9">
        <w:t xml:space="preserve">that </w:t>
      </w:r>
      <w:r>
        <w:t xml:space="preserve">no action is required or to select one or more of the following options: </w:t>
      </w:r>
    </w:p>
    <w:p w14:paraId="7F95EAF1" w14:textId="7018CA75" w:rsidR="00AC3D2A" w:rsidRDefault="0016341A" w:rsidP="00DD6610">
      <w:pPr>
        <w:pStyle w:val="ListParagraph"/>
        <w:numPr>
          <w:ilvl w:val="0"/>
          <w:numId w:val="26"/>
        </w:numPr>
      </w:pPr>
      <w:r>
        <w:t xml:space="preserve">counselling of the employee; </w:t>
      </w:r>
    </w:p>
    <w:p w14:paraId="41927074" w14:textId="19446856" w:rsidR="0016341A" w:rsidRDefault="0016341A" w:rsidP="00DD6610">
      <w:pPr>
        <w:pStyle w:val="ListParagraph"/>
        <w:numPr>
          <w:ilvl w:val="0"/>
          <w:numId w:val="26"/>
        </w:numPr>
      </w:pPr>
      <w:r>
        <w:t>formal direction and warning</w:t>
      </w:r>
      <w:r w:rsidR="007E5239">
        <w:t>;</w:t>
      </w:r>
    </w:p>
    <w:p w14:paraId="3419DFA4" w14:textId="1DE7D249" w:rsidR="00AC3D2A" w:rsidRDefault="005E46A6" w:rsidP="00DD6610">
      <w:pPr>
        <w:pStyle w:val="ListParagraph"/>
        <w:numPr>
          <w:ilvl w:val="0"/>
          <w:numId w:val="26"/>
        </w:numPr>
      </w:pPr>
      <w:r>
        <w:t xml:space="preserve">requiring the employee to attend a training program; </w:t>
      </w:r>
    </w:p>
    <w:p w14:paraId="261C0767" w14:textId="22168A70" w:rsidR="002022C8" w:rsidRDefault="006E45A0" w:rsidP="00DD6610">
      <w:pPr>
        <w:pStyle w:val="ListParagraph"/>
        <w:numPr>
          <w:ilvl w:val="0"/>
          <w:numId w:val="26"/>
        </w:numPr>
      </w:pPr>
      <w:r>
        <w:t>critical</w:t>
      </w:r>
      <w:r w:rsidR="005E46A6">
        <w:t xml:space="preserve"> performance assessment.</w:t>
      </w:r>
    </w:p>
    <w:p w14:paraId="007BC60A" w14:textId="0ACC9A0F" w:rsidR="006430AD" w:rsidRDefault="006430AD" w:rsidP="006430AD">
      <w:r>
        <w:t xml:space="preserve">Once the sanction decision-maker has </w:t>
      </w:r>
      <w:r w:rsidR="00D742EB">
        <w:t>determined what, if any, sanction to impose</w:t>
      </w:r>
      <w:r>
        <w:t xml:space="preserve">, they must inform the </w:t>
      </w:r>
      <w:r w:rsidR="0005088E">
        <w:t>employee</w:t>
      </w:r>
      <w:r>
        <w:t xml:space="preserve"> of the determination </w:t>
      </w:r>
      <w:r w:rsidR="00D742EB">
        <w:t>made in writing. If the sanction decision-maker has imposed a sanction, they must also</w:t>
      </w:r>
      <w:r>
        <w:t xml:space="preserve"> provide a statement of reasons.</w:t>
      </w:r>
    </w:p>
    <w:p w14:paraId="5F67C55A" w14:textId="2A4F02B2" w:rsidR="002022C8" w:rsidRDefault="00D10A44" w:rsidP="002022C8">
      <w:pPr>
        <w:pStyle w:val="Heading2"/>
      </w:pPr>
      <w:bookmarkStart w:id="16" w:name="_Toc149551315"/>
      <w:r>
        <w:t xml:space="preserve">7. </w:t>
      </w:r>
      <w:r w:rsidR="00501321">
        <w:t>Record of determination and sanctions</w:t>
      </w:r>
      <w:bookmarkEnd w:id="16"/>
    </w:p>
    <w:p w14:paraId="352CD0C6" w14:textId="2267086A" w:rsidR="00501321" w:rsidRDefault="00501321" w:rsidP="00D10A44">
      <w:pPr>
        <w:spacing w:after="120"/>
      </w:pPr>
      <w:r>
        <w:t xml:space="preserve">If a determination is made in relation to a suspected breach of the Code by </w:t>
      </w:r>
      <w:r w:rsidR="00D36624">
        <w:t>a person</w:t>
      </w:r>
      <w:r>
        <w:t xml:space="preserve">, a written record must be made of: </w:t>
      </w:r>
    </w:p>
    <w:p w14:paraId="4EC97BDC" w14:textId="71485722" w:rsidR="00501321" w:rsidRDefault="00501321" w:rsidP="005E2E98">
      <w:pPr>
        <w:pStyle w:val="ListParagraph"/>
        <w:numPr>
          <w:ilvl w:val="0"/>
          <w:numId w:val="28"/>
        </w:numPr>
      </w:pPr>
      <w:r>
        <w:t xml:space="preserve">the suspected breach; and </w:t>
      </w:r>
    </w:p>
    <w:p w14:paraId="28CFCAC6" w14:textId="59323EB5" w:rsidR="00501321" w:rsidRDefault="00501321" w:rsidP="005E2E98">
      <w:pPr>
        <w:pStyle w:val="ListParagraph"/>
        <w:numPr>
          <w:ilvl w:val="0"/>
          <w:numId w:val="28"/>
        </w:numPr>
      </w:pPr>
      <w:r>
        <w:t xml:space="preserve">the determination regarding breach; and </w:t>
      </w:r>
    </w:p>
    <w:p w14:paraId="6E0D7700" w14:textId="0A571D32" w:rsidR="00501321" w:rsidRDefault="00501321" w:rsidP="005E2E98">
      <w:pPr>
        <w:pStyle w:val="ListParagraph"/>
        <w:numPr>
          <w:ilvl w:val="0"/>
          <w:numId w:val="28"/>
        </w:numPr>
      </w:pPr>
      <w:r>
        <w:t xml:space="preserve">any sanctions imposed as a result of a determination that the employee breached the Code; and </w:t>
      </w:r>
    </w:p>
    <w:p w14:paraId="7E2CD7CA" w14:textId="0E48D0DC" w:rsidR="00501321" w:rsidRDefault="00501321" w:rsidP="005E2E98">
      <w:pPr>
        <w:pStyle w:val="ListParagraph"/>
        <w:numPr>
          <w:ilvl w:val="0"/>
          <w:numId w:val="28"/>
        </w:numPr>
      </w:pPr>
      <w:r>
        <w:t xml:space="preserve">if a statement of reasons was given to the </w:t>
      </w:r>
      <w:r w:rsidR="00D36624">
        <w:t>person</w:t>
      </w:r>
      <w:r>
        <w:t xml:space="preserve">—the statement of reasons. </w:t>
      </w:r>
    </w:p>
    <w:p w14:paraId="000890D1" w14:textId="08A04884" w:rsidR="00501321" w:rsidRDefault="00501321" w:rsidP="00501321">
      <w:r>
        <w:t xml:space="preserve">The </w:t>
      </w:r>
      <w:r w:rsidRPr="00AB5BE5">
        <w:rPr>
          <w:i/>
          <w:iCs/>
        </w:rPr>
        <w:t>Archives Act 1983</w:t>
      </w:r>
      <w:r>
        <w:t xml:space="preserve"> and the </w:t>
      </w:r>
      <w:r w:rsidRPr="00AB5BE5">
        <w:rPr>
          <w:i/>
          <w:iCs/>
        </w:rPr>
        <w:t>Privacy Act 1988</w:t>
      </w:r>
      <w:r>
        <w:t xml:space="preserve"> apply to records of determination and sanction.</w:t>
      </w:r>
    </w:p>
    <w:p w14:paraId="7C92FA71" w14:textId="5AB7BE48" w:rsidR="00501321" w:rsidRDefault="00D10A44" w:rsidP="00501321">
      <w:pPr>
        <w:pStyle w:val="Heading2"/>
      </w:pPr>
      <w:bookmarkStart w:id="17" w:name="_Toc149551316"/>
      <w:r>
        <w:t xml:space="preserve">8. </w:t>
      </w:r>
      <w:r w:rsidR="00501321">
        <w:t>Procedure when an employee is to move to another Agency during an investigation</w:t>
      </w:r>
      <w:bookmarkEnd w:id="17"/>
    </w:p>
    <w:p w14:paraId="7A0A8800" w14:textId="5FD05AC8" w:rsidR="00501321" w:rsidRDefault="00501321" w:rsidP="00D10A44">
      <w:pPr>
        <w:spacing w:after="120"/>
      </w:pPr>
      <w:r>
        <w:t xml:space="preserve">This </w:t>
      </w:r>
      <w:r w:rsidR="00752D87">
        <w:t>section applies if:</w:t>
      </w:r>
    </w:p>
    <w:p w14:paraId="2E4F5796" w14:textId="3B8C18CD" w:rsidR="000E5E56" w:rsidRDefault="00752D87" w:rsidP="005E2E98">
      <w:pPr>
        <w:pStyle w:val="ListParagraph"/>
        <w:numPr>
          <w:ilvl w:val="0"/>
          <w:numId w:val="30"/>
        </w:numPr>
      </w:pPr>
      <w:r>
        <w:t>an ongoing APS employee in an Agency is suspected of having breached the Cod</w:t>
      </w:r>
      <w:r w:rsidR="00BD7CF5">
        <w:t>e</w:t>
      </w:r>
      <w:r>
        <w:t xml:space="preserve">; and </w:t>
      </w:r>
    </w:p>
    <w:p w14:paraId="06700A75" w14:textId="56117B57" w:rsidR="000E5E56" w:rsidRDefault="00752D87" w:rsidP="005E2E98">
      <w:pPr>
        <w:pStyle w:val="ListParagraph"/>
        <w:numPr>
          <w:ilvl w:val="0"/>
          <w:numId w:val="30"/>
        </w:numPr>
      </w:pPr>
      <w:r>
        <w:t xml:space="preserve">the employee has been informed of the </w:t>
      </w:r>
      <w:r w:rsidR="00D36624">
        <w:t>details of the suspected breach</w:t>
      </w:r>
      <w:r>
        <w:t xml:space="preserve">; and </w:t>
      </w:r>
    </w:p>
    <w:p w14:paraId="0A747191" w14:textId="48A0F1D7" w:rsidR="000E5E56" w:rsidRDefault="00752D87" w:rsidP="005E2E98">
      <w:pPr>
        <w:pStyle w:val="ListParagraph"/>
        <w:numPr>
          <w:ilvl w:val="0"/>
          <w:numId w:val="30"/>
        </w:numPr>
      </w:pPr>
      <w:r>
        <w:t xml:space="preserve">the matter has not yet been resolved; and </w:t>
      </w:r>
    </w:p>
    <w:p w14:paraId="08A08547" w14:textId="5EE8E660" w:rsidR="00752D87" w:rsidRDefault="00752D87" w:rsidP="005E2E98">
      <w:pPr>
        <w:pStyle w:val="ListParagraph"/>
        <w:numPr>
          <w:ilvl w:val="0"/>
          <w:numId w:val="30"/>
        </w:numPr>
      </w:pPr>
      <w:r>
        <w:t>a decision has been made that would result in the movement of the employee under section 26 of the Act to another Agency (including on promotion)</w:t>
      </w:r>
      <w:r w:rsidR="000E5E56">
        <w:t>.</w:t>
      </w:r>
    </w:p>
    <w:p w14:paraId="704A2173" w14:textId="7864738D" w:rsidR="0048035A" w:rsidRPr="00AD06D1" w:rsidRDefault="00AD06D1" w:rsidP="00AD06D1">
      <w:r>
        <w:t xml:space="preserve">Unless the </w:t>
      </w:r>
      <w:r w:rsidR="000E5E56">
        <w:t>Inspector</w:t>
      </w:r>
      <w:r>
        <w:t>-General and the new Agency Head agree otherwise, the movement (including on promotion) does not take effect until a determination is made about whether the employee has breached the Code</w:t>
      </w:r>
      <w:r w:rsidR="00D10A44">
        <w:t>,</w:t>
      </w:r>
      <w:r>
        <w:t xml:space="preserve"> or it is decided that a determination is not necessary.</w:t>
      </w:r>
    </w:p>
    <w:sectPr w:rsidR="0048035A" w:rsidRPr="00AD06D1" w:rsidSect="00F36EB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1D60" w14:textId="77777777" w:rsidR="005D7B98" w:rsidRDefault="005D7B98" w:rsidP="00AA3591">
      <w:pPr>
        <w:spacing w:after="0" w:line="240" w:lineRule="auto"/>
      </w:pPr>
      <w:r>
        <w:separator/>
      </w:r>
    </w:p>
  </w:endnote>
  <w:endnote w:type="continuationSeparator" w:id="0">
    <w:p w14:paraId="47FF9C58" w14:textId="77777777" w:rsidR="005D7B98" w:rsidRDefault="005D7B98" w:rsidP="00AA3591">
      <w:pPr>
        <w:spacing w:after="0" w:line="240" w:lineRule="auto"/>
      </w:pPr>
      <w:r>
        <w:continuationSeparator/>
      </w:r>
    </w:p>
  </w:endnote>
  <w:endnote w:type="continuationNotice" w:id="1">
    <w:p w14:paraId="72841B7D" w14:textId="77777777" w:rsidR="005D7B98" w:rsidRDefault="005D7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722471"/>
      <w:docPartObj>
        <w:docPartGallery w:val="Page Numbers (Bottom of Page)"/>
        <w:docPartUnique/>
      </w:docPartObj>
    </w:sdtPr>
    <w:sdtEndPr>
      <w:rPr>
        <w:noProof/>
      </w:rPr>
    </w:sdtEndPr>
    <w:sdtContent>
      <w:p w14:paraId="595ED4A9" w14:textId="71472477" w:rsidR="00967483" w:rsidRDefault="009674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CA068B" w14:textId="5297BD06" w:rsidR="00AA3591" w:rsidRDefault="00AA3591" w:rsidP="007129F2">
    <w:pPr>
      <w:pStyle w:val="Footer"/>
      <w:tabs>
        <w:tab w:val="clear" w:pos="4513"/>
        <w:tab w:val="clear" w:pos="9026"/>
        <w:tab w:val="left" w:pos="209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3D7CC" w14:textId="77777777" w:rsidR="005D7B98" w:rsidRDefault="005D7B98" w:rsidP="00AA3591">
      <w:pPr>
        <w:spacing w:after="0" w:line="240" w:lineRule="auto"/>
      </w:pPr>
      <w:r>
        <w:separator/>
      </w:r>
    </w:p>
  </w:footnote>
  <w:footnote w:type="continuationSeparator" w:id="0">
    <w:p w14:paraId="082855C7" w14:textId="77777777" w:rsidR="005D7B98" w:rsidRDefault="005D7B98" w:rsidP="00AA3591">
      <w:pPr>
        <w:spacing w:after="0" w:line="240" w:lineRule="auto"/>
      </w:pPr>
      <w:r>
        <w:continuationSeparator/>
      </w:r>
    </w:p>
  </w:footnote>
  <w:footnote w:type="continuationNotice" w:id="1">
    <w:p w14:paraId="641995FA" w14:textId="77777777" w:rsidR="005D7B98" w:rsidRDefault="005D7B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F2F"/>
    <w:multiLevelType w:val="hybridMultilevel"/>
    <w:tmpl w:val="59CC4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44444D"/>
    <w:multiLevelType w:val="hybridMultilevel"/>
    <w:tmpl w:val="E146F592"/>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06D79"/>
    <w:multiLevelType w:val="hybridMultilevel"/>
    <w:tmpl w:val="F4FA9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3A4B48"/>
    <w:multiLevelType w:val="hybridMultilevel"/>
    <w:tmpl w:val="9E140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1C283E"/>
    <w:multiLevelType w:val="hybridMultilevel"/>
    <w:tmpl w:val="353481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2BD536E"/>
    <w:multiLevelType w:val="hybridMultilevel"/>
    <w:tmpl w:val="49860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0755A4"/>
    <w:multiLevelType w:val="hybridMultilevel"/>
    <w:tmpl w:val="7334FA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2AE002FB"/>
    <w:multiLevelType w:val="hybridMultilevel"/>
    <w:tmpl w:val="E3E688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760C8F"/>
    <w:multiLevelType w:val="hybridMultilevel"/>
    <w:tmpl w:val="0652B9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3E097E"/>
    <w:multiLevelType w:val="hybridMultilevel"/>
    <w:tmpl w:val="B3F0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7979E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A97E4A"/>
    <w:multiLevelType w:val="hybridMultilevel"/>
    <w:tmpl w:val="577230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4403D5"/>
    <w:multiLevelType w:val="hybridMultilevel"/>
    <w:tmpl w:val="47ECC0FC"/>
    <w:lvl w:ilvl="0" w:tplc="2488CDD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EB4CFA"/>
    <w:multiLevelType w:val="hybridMultilevel"/>
    <w:tmpl w:val="9FC85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0C49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19236B"/>
    <w:multiLevelType w:val="hybridMultilevel"/>
    <w:tmpl w:val="DCE49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1A1F12"/>
    <w:multiLevelType w:val="hybridMultilevel"/>
    <w:tmpl w:val="BAA6EA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381DD9"/>
    <w:multiLevelType w:val="hybridMultilevel"/>
    <w:tmpl w:val="938C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AB2F24"/>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F24E0D"/>
    <w:multiLevelType w:val="hybridMultilevel"/>
    <w:tmpl w:val="0B10E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0F4C86"/>
    <w:multiLevelType w:val="hybridMultilevel"/>
    <w:tmpl w:val="4EA6BF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2E1E9B"/>
    <w:multiLevelType w:val="hybridMultilevel"/>
    <w:tmpl w:val="A594B634"/>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014387"/>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84206E"/>
    <w:multiLevelType w:val="hybridMultilevel"/>
    <w:tmpl w:val="FD6CB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45429DC"/>
    <w:multiLevelType w:val="hybridMultilevel"/>
    <w:tmpl w:val="519AEC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656F1FCE"/>
    <w:multiLevelType w:val="hybridMultilevel"/>
    <w:tmpl w:val="A1442B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BE3EDE"/>
    <w:multiLevelType w:val="hybridMultilevel"/>
    <w:tmpl w:val="FCCEE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C27164"/>
    <w:multiLevelType w:val="hybridMultilevel"/>
    <w:tmpl w:val="94A86E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1D323B"/>
    <w:multiLevelType w:val="hybridMultilevel"/>
    <w:tmpl w:val="95DCB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7A0EFB"/>
    <w:multiLevelType w:val="hybridMultilevel"/>
    <w:tmpl w:val="AEA6C3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87A43F7"/>
    <w:multiLevelType w:val="hybridMultilevel"/>
    <w:tmpl w:val="A7283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66980877">
    <w:abstractNumId w:val="30"/>
  </w:num>
  <w:num w:numId="2" w16cid:durableId="1803841915">
    <w:abstractNumId w:val="19"/>
  </w:num>
  <w:num w:numId="3" w16cid:durableId="768309785">
    <w:abstractNumId w:val="9"/>
  </w:num>
  <w:num w:numId="4" w16cid:durableId="1455175674">
    <w:abstractNumId w:val="3"/>
  </w:num>
  <w:num w:numId="5" w16cid:durableId="765855580">
    <w:abstractNumId w:val="21"/>
  </w:num>
  <w:num w:numId="6" w16cid:durableId="1762605859">
    <w:abstractNumId w:val="1"/>
  </w:num>
  <w:num w:numId="7" w16cid:durableId="275136321">
    <w:abstractNumId w:val="16"/>
  </w:num>
  <w:num w:numId="8" w16cid:durableId="746459278">
    <w:abstractNumId w:val="0"/>
  </w:num>
  <w:num w:numId="9" w16cid:durableId="1451120461">
    <w:abstractNumId w:val="4"/>
  </w:num>
  <w:num w:numId="10" w16cid:durableId="1441681551">
    <w:abstractNumId w:val="23"/>
  </w:num>
  <w:num w:numId="11" w16cid:durableId="729962253">
    <w:abstractNumId w:val="5"/>
  </w:num>
  <w:num w:numId="12" w16cid:durableId="191916942">
    <w:abstractNumId w:val="26"/>
  </w:num>
  <w:num w:numId="13" w16cid:durableId="1510636728">
    <w:abstractNumId w:val="24"/>
  </w:num>
  <w:num w:numId="14" w16cid:durableId="736171290">
    <w:abstractNumId w:val="29"/>
  </w:num>
  <w:num w:numId="15" w16cid:durableId="937953107">
    <w:abstractNumId w:val="15"/>
  </w:num>
  <w:num w:numId="16" w16cid:durableId="790586342">
    <w:abstractNumId w:val="13"/>
  </w:num>
  <w:num w:numId="17" w16cid:durableId="402720244">
    <w:abstractNumId w:val="12"/>
  </w:num>
  <w:num w:numId="18" w16cid:durableId="1946620626">
    <w:abstractNumId w:val="8"/>
  </w:num>
  <w:num w:numId="19" w16cid:durableId="1400907514">
    <w:abstractNumId w:val="28"/>
  </w:num>
  <w:num w:numId="20" w16cid:durableId="11736156">
    <w:abstractNumId w:val="17"/>
  </w:num>
  <w:num w:numId="21" w16cid:durableId="957759166">
    <w:abstractNumId w:val="11"/>
  </w:num>
  <w:num w:numId="22" w16cid:durableId="827132315">
    <w:abstractNumId w:val="22"/>
  </w:num>
  <w:num w:numId="23" w16cid:durableId="1181091053">
    <w:abstractNumId w:val="18"/>
  </w:num>
  <w:num w:numId="24" w16cid:durableId="1123310285">
    <w:abstractNumId w:val="10"/>
  </w:num>
  <w:num w:numId="25" w16cid:durableId="816916430">
    <w:abstractNumId w:val="14"/>
  </w:num>
  <w:num w:numId="26" w16cid:durableId="811017394">
    <w:abstractNumId w:val="7"/>
  </w:num>
  <w:num w:numId="27" w16cid:durableId="1273561394">
    <w:abstractNumId w:val="2"/>
  </w:num>
  <w:num w:numId="28" w16cid:durableId="158891801">
    <w:abstractNumId w:val="20"/>
  </w:num>
  <w:num w:numId="29" w16cid:durableId="925262330">
    <w:abstractNumId w:val="27"/>
  </w:num>
  <w:num w:numId="30" w16cid:durableId="817840187">
    <w:abstractNumId w:val="25"/>
  </w:num>
  <w:num w:numId="31" w16cid:durableId="370422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91"/>
    <w:rsid w:val="00001603"/>
    <w:rsid w:val="000021F8"/>
    <w:rsid w:val="0000674B"/>
    <w:rsid w:val="00007338"/>
    <w:rsid w:val="00010922"/>
    <w:rsid w:val="0001177E"/>
    <w:rsid w:val="00012589"/>
    <w:rsid w:val="00023387"/>
    <w:rsid w:val="00031A8E"/>
    <w:rsid w:val="00034835"/>
    <w:rsid w:val="0003656F"/>
    <w:rsid w:val="00036944"/>
    <w:rsid w:val="00041854"/>
    <w:rsid w:val="00043B4F"/>
    <w:rsid w:val="0005088E"/>
    <w:rsid w:val="0005138A"/>
    <w:rsid w:val="00056B8D"/>
    <w:rsid w:val="000602D2"/>
    <w:rsid w:val="000620E1"/>
    <w:rsid w:val="000628C6"/>
    <w:rsid w:val="000734EA"/>
    <w:rsid w:val="00077216"/>
    <w:rsid w:val="000803BA"/>
    <w:rsid w:val="00080CFD"/>
    <w:rsid w:val="00085C61"/>
    <w:rsid w:val="00092087"/>
    <w:rsid w:val="00093849"/>
    <w:rsid w:val="000A3462"/>
    <w:rsid w:val="000B074D"/>
    <w:rsid w:val="000B360D"/>
    <w:rsid w:val="000C2955"/>
    <w:rsid w:val="000C779E"/>
    <w:rsid w:val="000E5E56"/>
    <w:rsid w:val="000F293E"/>
    <w:rsid w:val="000F443E"/>
    <w:rsid w:val="0010352A"/>
    <w:rsid w:val="0010677F"/>
    <w:rsid w:val="0011492C"/>
    <w:rsid w:val="00117673"/>
    <w:rsid w:val="00130EAF"/>
    <w:rsid w:val="00131986"/>
    <w:rsid w:val="001337AA"/>
    <w:rsid w:val="00141DF3"/>
    <w:rsid w:val="00144EE9"/>
    <w:rsid w:val="00147CDA"/>
    <w:rsid w:val="00151DE6"/>
    <w:rsid w:val="0015422A"/>
    <w:rsid w:val="00160274"/>
    <w:rsid w:val="00160F4F"/>
    <w:rsid w:val="00162656"/>
    <w:rsid w:val="0016341A"/>
    <w:rsid w:val="00163688"/>
    <w:rsid w:val="00163DFA"/>
    <w:rsid w:val="00170830"/>
    <w:rsid w:val="001713B2"/>
    <w:rsid w:val="00173F98"/>
    <w:rsid w:val="001750DA"/>
    <w:rsid w:val="00175779"/>
    <w:rsid w:val="001811F4"/>
    <w:rsid w:val="0019303D"/>
    <w:rsid w:val="0019558D"/>
    <w:rsid w:val="00195DB6"/>
    <w:rsid w:val="001A4065"/>
    <w:rsid w:val="001A4240"/>
    <w:rsid w:val="001A4928"/>
    <w:rsid w:val="001B7540"/>
    <w:rsid w:val="001B7B4A"/>
    <w:rsid w:val="001C21F7"/>
    <w:rsid w:val="001C3846"/>
    <w:rsid w:val="001C5FEA"/>
    <w:rsid w:val="001D0171"/>
    <w:rsid w:val="001D182B"/>
    <w:rsid w:val="001D29D8"/>
    <w:rsid w:val="001D368B"/>
    <w:rsid w:val="001E26AB"/>
    <w:rsid w:val="002022C8"/>
    <w:rsid w:val="00211187"/>
    <w:rsid w:val="00221D58"/>
    <w:rsid w:val="00225ADF"/>
    <w:rsid w:val="0023361E"/>
    <w:rsid w:val="00247162"/>
    <w:rsid w:val="00247F41"/>
    <w:rsid w:val="0025151E"/>
    <w:rsid w:val="002621DB"/>
    <w:rsid w:val="002623A4"/>
    <w:rsid w:val="00262F7A"/>
    <w:rsid w:val="00263CE3"/>
    <w:rsid w:val="00264B76"/>
    <w:rsid w:val="00265278"/>
    <w:rsid w:val="002661B9"/>
    <w:rsid w:val="00276078"/>
    <w:rsid w:val="00280050"/>
    <w:rsid w:val="00281A0E"/>
    <w:rsid w:val="00290CB1"/>
    <w:rsid w:val="00292599"/>
    <w:rsid w:val="00295E8C"/>
    <w:rsid w:val="002A1A41"/>
    <w:rsid w:val="002A2D96"/>
    <w:rsid w:val="002A527E"/>
    <w:rsid w:val="002B1C9C"/>
    <w:rsid w:val="002B49AE"/>
    <w:rsid w:val="002B76BD"/>
    <w:rsid w:val="002C0CA5"/>
    <w:rsid w:val="002C0F42"/>
    <w:rsid w:val="002C50A1"/>
    <w:rsid w:val="002D5F5F"/>
    <w:rsid w:val="002E60B1"/>
    <w:rsid w:val="002F1825"/>
    <w:rsid w:val="002F46BD"/>
    <w:rsid w:val="00300369"/>
    <w:rsid w:val="00302B43"/>
    <w:rsid w:val="0030320C"/>
    <w:rsid w:val="003151A0"/>
    <w:rsid w:val="00317AE5"/>
    <w:rsid w:val="00320364"/>
    <w:rsid w:val="003215B1"/>
    <w:rsid w:val="003244E2"/>
    <w:rsid w:val="00324A0B"/>
    <w:rsid w:val="00324DD0"/>
    <w:rsid w:val="00325A6F"/>
    <w:rsid w:val="003332CB"/>
    <w:rsid w:val="003362FD"/>
    <w:rsid w:val="003368F9"/>
    <w:rsid w:val="00341541"/>
    <w:rsid w:val="00341A59"/>
    <w:rsid w:val="00350F45"/>
    <w:rsid w:val="00352440"/>
    <w:rsid w:val="00360D66"/>
    <w:rsid w:val="00365917"/>
    <w:rsid w:val="00371C77"/>
    <w:rsid w:val="00372A05"/>
    <w:rsid w:val="00374314"/>
    <w:rsid w:val="003852DE"/>
    <w:rsid w:val="00387D62"/>
    <w:rsid w:val="00393891"/>
    <w:rsid w:val="00393AE0"/>
    <w:rsid w:val="003A2745"/>
    <w:rsid w:val="003A3379"/>
    <w:rsid w:val="003A5AD6"/>
    <w:rsid w:val="003A7C33"/>
    <w:rsid w:val="003C1BC8"/>
    <w:rsid w:val="003C38C8"/>
    <w:rsid w:val="003C3E61"/>
    <w:rsid w:val="003C463C"/>
    <w:rsid w:val="003C5817"/>
    <w:rsid w:val="003C6ED5"/>
    <w:rsid w:val="003C7EFC"/>
    <w:rsid w:val="003D1DF9"/>
    <w:rsid w:val="003D3143"/>
    <w:rsid w:val="003D5167"/>
    <w:rsid w:val="003E7BAA"/>
    <w:rsid w:val="003F03C6"/>
    <w:rsid w:val="003F2F16"/>
    <w:rsid w:val="003F3CF7"/>
    <w:rsid w:val="00407516"/>
    <w:rsid w:val="00412E56"/>
    <w:rsid w:val="00413F51"/>
    <w:rsid w:val="00413FC5"/>
    <w:rsid w:val="00417ED8"/>
    <w:rsid w:val="004251F8"/>
    <w:rsid w:val="00427997"/>
    <w:rsid w:val="004456C1"/>
    <w:rsid w:val="004524C8"/>
    <w:rsid w:val="004603B1"/>
    <w:rsid w:val="00460E50"/>
    <w:rsid w:val="00460FD5"/>
    <w:rsid w:val="00463222"/>
    <w:rsid w:val="004707A4"/>
    <w:rsid w:val="004777F8"/>
    <w:rsid w:val="0048035A"/>
    <w:rsid w:val="00483B84"/>
    <w:rsid w:val="00485136"/>
    <w:rsid w:val="00485A67"/>
    <w:rsid w:val="00494F3D"/>
    <w:rsid w:val="004A4EC9"/>
    <w:rsid w:val="004B4151"/>
    <w:rsid w:val="004B56A4"/>
    <w:rsid w:val="004B65AA"/>
    <w:rsid w:val="004C1EDB"/>
    <w:rsid w:val="004C251C"/>
    <w:rsid w:val="004C62DC"/>
    <w:rsid w:val="004C77F3"/>
    <w:rsid w:val="004E347F"/>
    <w:rsid w:val="004E5B1F"/>
    <w:rsid w:val="004F5278"/>
    <w:rsid w:val="004F7655"/>
    <w:rsid w:val="00501321"/>
    <w:rsid w:val="0050181E"/>
    <w:rsid w:val="0050613D"/>
    <w:rsid w:val="0051042C"/>
    <w:rsid w:val="00516F69"/>
    <w:rsid w:val="005171C5"/>
    <w:rsid w:val="00521656"/>
    <w:rsid w:val="0052190E"/>
    <w:rsid w:val="005242F7"/>
    <w:rsid w:val="00533858"/>
    <w:rsid w:val="00537326"/>
    <w:rsid w:val="0055279B"/>
    <w:rsid w:val="005565B0"/>
    <w:rsid w:val="00556CC2"/>
    <w:rsid w:val="00585E05"/>
    <w:rsid w:val="00587A17"/>
    <w:rsid w:val="0059057D"/>
    <w:rsid w:val="005937A4"/>
    <w:rsid w:val="005A4CDC"/>
    <w:rsid w:val="005B1187"/>
    <w:rsid w:val="005B4364"/>
    <w:rsid w:val="005B5D08"/>
    <w:rsid w:val="005C57C7"/>
    <w:rsid w:val="005C5FE4"/>
    <w:rsid w:val="005D1ADB"/>
    <w:rsid w:val="005D5E52"/>
    <w:rsid w:val="005D715A"/>
    <w:rsid w:val="005D7B98"/>
    <w:rsid w:val="005E0E3B"/>
    <w:rsid w:val="005E1B6E"/>
    <w:rsid w:val="005E2E98"/>
    <w:rsid w:val="005E3CDD"/>
    <w:rsid w:val="005E46A6"/>
    <w:rsid w:val="005F356C"/>
    <w:rsid w:val="005F4DA6"/>
    <w:rsid w:val="006003F7"/>
    <w:rsid w:val="00600D7E"/>
    <w:rsid w:val="00603A56"/>
    <w:rsid w:val="00604151"/>
    <w:rsid w:val="00607954"/>
    <w:rsid w:val="006120C1"/>
    <w:rsid w:val="00612DCD"/>
    <w:rsid w:val="006208EF"/>
    <w:rsid w:val="00625982"/>
    <w:rsid w:val="0063165A"/>
    <w:rsid w:val="00631883"/>
    <w:rsid w:val="00634C94"/>
    <w:rsid w:val="00634EAE"/>
    <w:rsid w:val="00634EC1"/>
    <w:rsid w:val="00635E86"/>
    <w:rsid w:val="006405F6"/>
    <w:rsid w:val="006430AD"/>
    <w:rsid w:val="00645B60"/>
    <w:rsid w:val="0064706B"/>
    <w:rsid w:val="00650841"/>
    <w:rsid w:val="00650DA7"/>
    <w:rsid w:val="00653C6C"/>
    <w:rsid w:val="00670740"/>
    <w:rsid w:val="00670A64"/>
    <w:rsid w:val="00673964"/>
    <w:rsid w:val="00675091"/>
    <w:rsid w:val="00675DA6"/>
    <w:rsid w:val="00676400"/>
    <w:rsid w:val="00676ECE"/>
    <w:rsid w:val="00681735"/>
    <w:rsid w:val="00687E30"/>
    <w:rsid w:val="006A0667"/>
    <w:rsid w:val="006A0938"/>
    <w:rsid w:val="006C0162"/>
    <w:rsid w:val="006C39C3"/>
    <w:rsid w:val="006D595F"/>
    <w:rsid w:val="006D77E5"/>
    <w:rsid w:val="006E02FA"/>
    <w:rsid w:val="006E0B34"/>
    <w:rsid w:val="006E2D11"/>
    <w:rsid w:val="006E45A0"/>
    <w:rsid w:val="006E75E9"/>
    <w:rsid w:val="006F23D8"/>
    <w:rsid w:val="006F3496"/>
    <w:rsid w:val="006F4D23"/>
    <w:rsid w:val="006F6107"/>
    <w:rsid w:val="006F7072"/>
    <w:rsid w:val="00700B83"/>
    <w:rsid w:val="00704FC1"/>
    <w:rsid w:val="0071290B"/>
    <w:rsid w:val="007129F2"/>
    <w:rsid w:val="0072105B"/>
    <w:rsid w:val="00721617"/>
    <w:rsid w:val="00733183"/>
    <w:rsid w:val="00733A5C"/>
    <w:rsid w:val="0074690A"/>
    <w:rsid w:val="00752D87"/>
    <w:rsid w:val="00753082"/>
    <w:rsid w:val="0076353B"/>
    <w:rsid w:val="00775995"/>
    <w:rsid w:val="00777B27"/>
    <w:rsid w:val="0078169F"/>
    <w:rsid w:val="00790DEA"/>
    <w:rsid w:val="00794083"/>
    <w:rsid w:val="0079714D"/>
    <w:rsid w:val="007A4F44"/>
    <w:rsid w:val="007A7745"/>
    <w:rsid w:val="007B400B"/>
    <w:rsid w:val="007B7ABA"/>
    <w:rsid w:val="007B7EFD"/>
    <w:rsid w:val="007E0A30"/>
    <w:rsid w:val="007E0ED8"/>
    <w:rsid w:val="007E5239"/>
    <w:rsid w:val="007E5FCA"/>
    <w:rsid w:val="007F1CD1"/>
    <w:rsid w:val="00802050"/>
    <w:rsid w:val="00824563"/>
    <w:rsid w:val="00827C5D"/>
    <w:rsid w:val="00833EB7"/>
    <w:rsid w:val="00835AB3"/>
    <w:rsid w:val="00836DFD"/>
    <w:rsid w:val="00843982"/>
    <w:rsid w:val="00844D5F"/>
    <w:rsid w:val="00853D3D"/>
    <w:rsid w:val="0085578A"/>
    <w:rsid w:val="00855AF3"/>
    <w:rsid w:val="008641B0"/>
    <w:rsid w:val="00867A53"/>
    <w:rsid w:val="00874EF3"/>
    <w:rsid w:val="0087724B"/>
    <w:rsid w:val="0089239E"/>
    <w:rsid w:val="0089358C"/>
    <w:rsid w:val="00896E7E"/>
    <w:rsid w:val="00896FE3"/>
    <w:rsid w:val="008A49F0"/>
    <w:rsid w:val="008B265C"/>
    <w:rsid w:val="008B31A7"/>
    <w:rsid w:val="008B723E"/>
    <w:rsid w:val="008D0D2D"/>
    <w:rsid w:val="008D2D3C"/>
    <w:rsid w:val="008E3053"/>
    <w:rsid w:val="008F526F"/>
    <w:rsid w:val="00901C6D"/>
    <w:rsid w:val="00903A47"/>
    <w:rsid w:val="00906150"/>
    <w:rsid w:val="009061F0"/>
    <w:rsid w:val="009138CE"/>
    <w:rsid w:val="0091426D"/>
    <w:rsid w:val="009212A9"/>
    <w:rsid w:val="00921553"/>
    <w:rsid w:val="009269D7"/>
    <w:rsid w:val="009311C3"/>
    <w:rsid w:val="00932D86"/>
    <w:rsid w:val="00936CAC"/>
    <w:rsid w:val="00936F29"/>
    <w:rsid w:val="00937033"/>
    <w:rsid w:val="009409F1"/>
    <w:rsid w:val="00942193"/>
    <w:rsid w:val="00943E28"/>
    <w:rsid w:val="0095188E"/>
    <w:rsid w:val="009623C1"/>
    <w:rsid w:val="009645FA"/>
    <w:rsid w:val="00965627"/>
    <w:rsid w:val="00967483"/>
    <w:rsid w:val="0098578A"/>
    <w:rsid w:val="00990D4D"/>
    <w:rsid w:val="009935D3"/>
    <w:rsid w:val="0099365B"/>
    <w:rsid w:val="00995020"/>
    <w:rsid w:val="0099625B"/>
    <w:rsid w:val="009965AC"/>
    <w:rsid w:val="009A0389"/>
    <w:rsid w:val="009A5409"/>
    <w:rsid w:val="009A619F"/>
    <w:rsid w:val="009B3A60"/>
    <w:rsid w:val="009B4D28"/>
    <w:rsid w:val="009C0270"/>
    <w:rsid w:val="009C25DB"/>
    <w:rsid w:val="009C574E"/>
    <w:rsid w:val="009C598B"/>
    <w:rsid w:val="009D1D00"/>
    <w:rsid w:val="009E014A"/>
    <w:rsid w:val="009E04C0"/>
    <w:rsid w:val="009E528D"/>
    <w:rsid w:val="009F75B9"/>
    <w:rsid w:val="00A011F0"/>
    <w:rsid w:val="00A056B9"/>
    <w:rsid w:val="00A07A81"/>
    <w:rsid w:val="00A10CE8"/>
    <w:rsid w:val="00A11962"/>
    <w:rsid w:val="00A16B39"/>
    <w:rsid w:val="00A171D2"/>
    <w:rsid w:val="00A417A6"/>
    <w:rsid w:val="00A43201"/>
    <w:rsid w:val="00A479E6"/>
    <w:rsid w:val="00A502DF"/>
    <w:rsid w:val="00A50767"/>
    <w:rsid w:val="00A5178A"/>
    <w:rsid w:val="00A523D6"/>
    <w:rsid w:val="00A52CCD"/>
    <w:rsid w:val="00A53172"/>
    <w:rsid w:val="00A55352"/>
    <w:rsid w:val="00A557C5"/>
    <w:rsid w:val="00A55993"/>
    <w:rsid w:val="00A650A6"/>
    <w:rsid w:val="00A67032"/>
    <w:rsid w:val="00A6774A"/>
    <w:rsid w:val="00A7674E"/>
    <w:rsid w:val="00A769E9"/>
    <w:rsid w:val="00A82C8C"/>
    <w:rsid w:val="00A90570"/>
    <w:rsid w:val="00A97CD5"/>
    <w:rsid w:val="00AA2F23"/>
    <w:rsid w:val="00AA3591"/>
    <w:rsid w:val="00AA4EBC"/>
    <w:rsid w:val="00AA6DE1"/>
    <w:rsid w:val="00AB5BE5"/>
    <w:rsid w:val="00AC0C8A"/>
    <w:rsid w:val="00AC3655"/>
    <w:rsid w:val="00AC3D2A"/>
    <w:rsid w:val="00AC5110"/>
    <w:rsid w:val="00AD06D1"/>
    <w:rsid w:val="00AD43D3"/>
    <w:rsid w:val="00AD6A89"/>
    <w:rsid w:val="00AD74B3"/>
    <w:rsid w:val="00AE2719"/>
    <w:rsid w:val="00AE4C13"/>
    <w:rsid w:val="00AF09C1"/>
    <w:rsid w:val="00AF503E"/>
    <w:rsid w:val="00AF535C"/>
    <w:rsid w:val="00AF64B1"/>
    <w:rsid w:val="00B10001"/>
    <w:rsid w:val="00B1014E"/>
    <w:rsid w:val="00B1138A"/>
    <w:rsid w:val="00B14F0C"/>
    <w:rsid w:val="00B205C2"/>
    <w:rsid w:val="00B2678F"/>
    <w:rsid w:val="00B3099D"/>
    <w:rsid w:val="00B32E50"/>
    <w:rsid w:val="00B34F3D"/>
    <w:rsid w:val="00B40C5F"/>
    <w:rsid w:val="00B42752"/>
    <w:rsid w:val="00B52C7E"/>
    <w:rsid w:val="00B548D1"/>
    <w:rsid w:val="00B55019"/>
    <w:rsid w:val="00B564F2"/>
    <w:rsid w:val="00B67087"/>
    <w:rsid w:val="00B71C0B"/>
    <w:rsid w:val="00B72190"/>
    <w:rsid w:val="00B774EB"/>
    <w:rsid w:val="00B91076"/>
    <w:rsid w:val="00B932BC"/>
    <w:rsid w:val="00B938AF"/>
    <w:rsid w:val="00B943D1"/>
    <w:rsid w:val="00B96B47"/>
    <w:rsid w:val="00BA21FC"/>
    <w:rsid w:val="00BA5616"/>
    <w:rsid w:val="00BB1175"/>
    <w:rsid w:val="00BB1F23"/>
    <w:rsid w:val="00BB7444"/>
    <w:rsid w:val="00BC3C2D"/>
    <w:rsid w:val="00BC50D7"/>
    <w:rsid w:val="00BC625D"/>
    <w:rsid w:val="00BD7CF5"/>
    <w:rsid w:val="00BE0532"/>
    <w:rsid w:val="00BF046C"/>
    <w:rsid w:val="00BF12BF"/>
    <w:rsid w:val="00BF4CA8"/>
    <w:rsid w:val="00BF7BEC"/>
    <w:rsid w:val="00C00A02"/>
    <w:rsid w:val="00C01338"/>
    <w:rsid w:val="00C061C6"/>
    <w:rsid w:val="00C10D67"/>
    <w:rsid w:val="00C1375E"/>
    <w:rsid w:val="00C16926"/>
    <w:rsid w:val="00C4146E"/>
    <w:rsid w:val="00C44647"/>
    <w:rsid w:val="00C53A5E"/>
    <w:rsid w:val="00C552B8"/>
    <w:rsid w:val="00C62DC5"/>
    <w:rsid w:val="00C6643C"/>
    <w:rsid w:val="00C6654C"/>
    <w:rsid w:val="00C6684C"/>
    <w:rsid w:val="00C6707F"/>
    <w:rsid w:val="00C67BD8"/>
    <w:rsid w:val="00C71F32"/>
    <w:rsid w:val="00C7334B"/>
    <w:rsid w:val="00C749CC"/>
    <w:rsid w:val="00C76E2B"/>
    <w:rsid w:val="00C864C0"/>
    <w:rsid w:val="00C93861"/>
    <w:rsid w:val="00CA4072"/>
    <w:rsid w:val="00CA7522"/>
    <w:rsid w:val="00CB0D44"/>
    <w:rsid w:val="00CB3C02"/>
    <w:rsid w:val="00CC0D0F"/>
    <w:rsid w:val="00CC2B82"/>
    <w:rsid w:val="00CC2CC9"/>
    <w:rsid w:val="00CC37E9"/>
    <w:rsid w:val="00CC3980"/>
    <w:rsid w:val="00CC53F6"/>
    <w:rsid w:val="00CD0B4D"/>
    <w:rsid w:val="00CD2DC8"/>
    <w:rsid w:val="00CE022D"/>
    <w:rsid w:val="00CE221A"/>
    <w:rsid w:val="00CE3674"/>
    <w:rsid w:val="00CE3E7A"/>
    <w:rsid w:val="00CF56E1"/>
    <w:rsid w:val="00D025B5"/>
    <w:rsid w:val="00D031FB"/>
    <w:rsid w:val="00D064A2"/>
    <w:rsid w:val="00D077E5"/>
    <w:rsid w:val="00D10A44"/>
    <w:rsid w:val="00D1108C"/>
    <w:rsid w:val="00D149E9"/>
    <w:rsid w:val="00D22826"/>
    <w:rsid w:val="00D25239"/>
    <w:rsid w:val="00D32253"/>
    <w:rsid w:val="00D36624"/>
    <w:rsid w:val="00D41C0A"/>
    <w:rsid w:val="00D42C9D"/>
    <w:rsid w:val="00D45727"/>
    <w:rsid w:val="00D57319"/>
    <w:rsid w:val="00D742EB"/>
    <w:rsid w:val="00D84472"/>
    <w:rsid w:val="00D93696"/>
    <w:rsid w:val="00D967E6"/>
    <w:rsid w:val="00D97B62"/>
    <w:rsid w:val="00DA403F"/>
    <w:rsid w:val="00DA5D61"/>
    <w:rsid w:val="00DA705A"/>
    <w:rsid w:val="00DB682B"/>
    <w:rsid w:val="00DB684F"/>
    <w:rsid w:val="00DC36BA"/>
    <w:rsid w:val="00DC4977"/>
    <w:rsid w:val="00DD3E51"/>
    <w:rsid w:val="00DD6610"/>
    <w:rsid w:val="00DE08D5"/>
    <w:rsid w:val="00DE7956"/>
    <w:rsid w:val="00DF60A1"/>
    <w:rsid w:val="00E020EE"/>
    <w:rsid w:val="00E02DCB"/>
    <w:rsid w:val="00E065C3"/>
    <w:rsid w:val="00E06AFD"/>
    <w:rsid w:val="00E12E7D"/>
    <w:rsid w:val="00E174D2"/>
    <w:rsid w:val="00E23F7C"/>
    <w:rsid w:val="00E306FB"/>
    <w:rsid w:val="00E328D1"/>
    <w:rsid w:val="00E363E3"/>
    <w:rsid w:val="00E55B91"/>
    <w:rsid w:val="00E55E65"/>
    <w:rsid w:val="00E56150"/>
    <w:rsid w:val="00E56365"/>
    <w:rsid w:val="00E56E6C"/>
    <w:rsid w:val="00E62A42"/>
    <w:rsid w:val="00E66A8A"/>
    <w:rsid w:val="00E66DF5"/>
    <w:rsid w:val="00E702C1"/>
    <w:rsid w:val="00E75F1B"/>
    <w:rsid w:val="00E76617"/>
    <w:rsid w:val="00E80081"/>
    <w:rsid w:val="00E82AC6"/>
    <w:rsid w:val="00E9085D"/>
    <w:rsid w:val="00E91576"/>
    <w:rsid w:val="00E95A5F"/>
    <w:rsid w:val="00EA2B39"/>
    <w:rsid w:val="00EA49C2"/>
    <w:rsid w:val="00EA65E7"/>
    <w:rsid w:val="00EA6843"/>
    <w:rsid w:val="00EB19D4"/>
    <w:rsid w:val="00EB3B19"/>
    <w:rsid w:val="00EC067D"/>
    <w:rsid w:val="00EC1A12"/>
    <w:rsid w:val="00EE29E7"/>
    <w:rsid w:val="00EE2AAA"/>
    <w:rsid w:val="00EE3804"/>
    <w:rsid w:val="00EF6232"/>
    <w:rsid w:val="00F02724"/>
    <w:rsid w:val="00F035AC"/>
    <w:rsid w:val="00F03E80"/>
    <w:rsid w:val="00F05ED5"/>
    <w:rsid w:val="00F1020B"/>
    <w:rsid w:val="00F10407"/>
    <w:rsid w:val="00F14D6C"/>
    <w:rsid w:val="00F204BB"/>
    <w:rsid w:val="00F20946"/>
    <w:rsid w:val="00F21B73"/>
    <w:rsid w:val="00F36EB3"/>
    <w:rsid w:val="00F40640"/>
    <w:rsid w:val="00F40AAC"/>
    <w:rsid w:val="00F40C2F"/>
    <w:rsid w:val="00F4147B"/>
    <w:rsid w:val="00F442DD"/>
    <w:rsid w:val="00F47280"/>
    <w:rsid w:val="00F5498F"/>
    <w:rsid w:val="00F5678C"/>
    <w:rsid w:val="00F644E9"/>
    <w:rsid w:val="00F67E7D"/>
    <w:rsid w:val="00F73589"/>
    <w:rsid w:val="00F756EE"/>
    <w:rsid w:val="00F776B0"/>
    <w:rsid w:val="00F810E8"/>
    <w:rsid w:val="00F82D4F"/>
    <w:rsid w:val="00F855E3"/>
    <w:rsid w:val="00F85F92"/>
    <w:rsid w:val="00F86735"/>
    <w:rsid w:val="00F86BBC"/>
    <w:rsid w:val="00F906C9"/>
    <w:rsid w:val="00F9415B"/>
    <w:rsid w:val="00FA234A"/>
    <w:rsid w:val="00FA506F"/>
    <w:rsid w:val="00FA6ABC"/>
    <w:rsid w:val="00FA7780"/>
    <w:rsid w:val="00FB0A72"/>
    <w:rsid w:val="00FC0CB5"/>
    <w:rsid w:val="00FD0B27"/>
    <w:rsid w:val="00FD7D6A"/>
    <w:rsid w:val="00FE2322"/>
    <w:rsid w:val="00FE2999"/>
    <w:rsid w:val="00FE71C8"/>
    <w:rsid w:val="00FF4D77"/>
    <w:rsid w:val="24B0A851"/>
    <w:rsid w:val="306E0694"/>
    <w:rsid w:val="46219992"/>
    <w:rsid w:val="4D0AB0B6"/>
    <w:rsid w:val="77BDBB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8AC07"/>
  <w15:chartTrackingRefBased/>
  <w15:docId w15:val="{2221D042-BF78-4603-B8A8-052BB375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A6"/>
    <w:rPr>
      <w:rFonts w:asciiTheme="minorHAnsi" w:hAnsiTheme="minorHAnsi"/>
      <w:sz w:val="22"/>
    </w:rPr>
  </w:style>
  <w:style w:type="paragraph" w:styleId="Heading1">
    <w:name w:val="heading 1"/>
    <w:basedOn w:val="Normal"/>
    <w:next w:val="Normal"/>
    <w:link w:val="Heading1Char"/>
    <w:uiPriority w:val="9"/>
    <w:qFormat/>
    <w:rsid w:val="00BF7BEC"/>
    <w:pPr>
      <w:keepNext/>
      <w:keepLines/>
      <w:spacing w:before="240" w:after="0"/>
      <w:outlineLvl w:val="0"/>
    </w:pPr>
    <w:rPr>
      <w:rFonts w:eastAsiaTheme="majorEastAsia" w:cstheme="majorBidi"/>
      <w:b/>
      <w:color w:val="452669"/>
      <w:sz w:val="48"/>
      <w:szCs w:val="32"/>
    </w:rPr>
  </w:style>
  <w:style w:type="paragraph" w:styleId="Heading2">
    <w:name w:val="heading 2"/>
    <w:basedOn w:val="Normal"/>
    <w:next w:val="Normal"/>
    <w:link w:val="Heading2Char"/>
    <w:uiPriority w:val="9"/>
    <w:unhideWhenUsed/>
    <w:qFormat/>
    <w:rsid w:val="00BF7BEC"/>
    <w:pPr>
      <w:keepNext/>
      <w:keepLines/>
      <w:spacing w:before="40" w:after="0"/>
      <w:outlineLvl w:val="1"/>
    </w:pPr>
    <w:rPr>
      <w:rFonts w:eastAsiaTheme="majorEastAsia" w:cstheme="majorBidi"/>
      <w:b/>
      <w:color w:val="59237B"/>
      <w:sz w:val="40"/>
      <w:szCs w:val="26"/>
    </w:rPr>
  </w:style>
  <w:style w:type="paragraph" w:styleId="Heading3">
    <w:name w:val="heading 3"/>
    <w:basedOn w:val="Heading2"/>
    <w:next w:val="Normal"/>
    <w:link w:val="Heading3Char"/>
    <w:uiPriority w:val="9"/>
    <w:unhideWhenUsed/>
    <w:qFormat/>
    <w:rsid w:val="00BF7BEC"/>
    <w:pPr>
      <w:outlineLvl w:val="2"/>
    </w:pPr>
    <w:rPr>
      <w:color w:val="D94931"/>
      <w:sz w:val="36"/>
      <w:szCs w:val="28"/>
    </w:rPr>
  </w:style>
  <w:style w:type="paragraph" w:styleId="Heading4">
    <w:name w:val="heading 4"/>
    <w:basedOn w:val="Normal"/>
    <w:next w:val="Normal"/>
    <w:link w:val="Heading4Char"/>
    <w:uiPriority w:val="9"/>
    <w:unhideWhenUsed/>
    <w:qFormat/>
    <w:rsid w:val="00BF7BEC"/>
    <w:pPr>
      <w:keepNext/>
      <w:keepLines/>
      <w:spacing w:before="40" w:after="0"/>
      <w:outlineLvl w:val="3"/>
    </w:pPr>
    <w:rPr>
      <w:rFonts w:eastAsiaTheme="majorEastAsia" w:cstheme="minorHAnsi"/>
      <w:b/>
      <w:bCs/>
      <w:color w:val="174F9A"/>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591"/>
    <w:rPr>
      <w:rFonts w:asciiTheme="minorHAnsi" w:hAnsiTheme="minorHAnsi"/>
      <w:sz w:val="22"/>
    </w:rPr>
  </w:style>
  <w:style w:type="paragraph" w:styleId="Footer">
    <w:name w:val="footer"/>
    <w:basedOn w:val="Normal"/>
    <w:link w:val="FooterChar"/>
    <w:uiPriority w:val="99"/>
    <w:unhideWhenUsed/>
    <w:rsid w:val="00AA3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591"/>
    <w:rPr>
      <w:rFonts w:asciiTheme="minorHAnsi" w:hAnsiTheme="minorHAnsi"/>
      <w:sz w:val="22"/>
    </w:rPr>
  </w:style>
  <w:style w:type="paragraph" w:styleId="NormalWeb">
    <w:name w:val="Normal (Web)"/>
    <w:basedOn w:val="Normal"/>
    <w:uiPriority w:val="99"/>
    <w:unhideWhenUsed/>
    <w:rsid w:val="00676400"/>
    <w:pPr>
      <w:spacing w:before="100" w:beforeAutospacing="1" w:after="100" w:afterAutospacing="1" w:line="240" w:lineRule="auto"/>
    </w:pPr>
    <w:rPr>
      <w:rFonts w:ascii="Times New Roman" w:eastAsia="Times New Roman" w:hAnsi="Times New Roman"/>
      <w:sz w:val="24"/>
      <w:lang w:eastAsia="en-AU"/>
    </w:rPr>
  </w:style>
  <w:style w:type="paragraph" w:styleId="ListParagraph">
    <w:name w:val="List Paragraph"/>
    <w:basedOn w:val="Normal"/>
    <w:uiPriority w:val="34"/>
    <w:qFormat/>
    <w:rsid w:val="00160274"/>
    <w:pPr>
      <w:ind w:left="720"/>
      <w:contextualSpacing/>
    </w:pPr>
  </w:style>
  <w:style w:type="character" w:styleId="CommentReference">
    <w:name w:val="annotation reference"/>
    <w:basedOn w:val="DefaultParagraphFont"/>
    <w:uiPriority w:val="99"/>
    <w:semiHidden/>
    <w:unhideWhenUsed/>
    <w:rsid w:val="000734EA"/>
    <w:rPr>
      <w:sz w:val="16"/>
      <w:szCs w:val="16"/>
    </w:rPr>
  </w:style>
  <w:style w:type="paragraph" w:styleId="CommentText">
    <w:name w:val="annotation text"/>
    <w:basedOn w:val="Normal"/>
    <w:link w:val="CommentTextChar"/>
    <w:uiPriority w:val="99"/>
    <w:unhideWhenUsed/>
    <w:rsid w:val="000734EA"/>
    <w:pPr>
      <w:spacing w:line="240" w:lineRule="auto"/>
    </w:pPr>
    <w:rPr>
      <w:sz w:val="20"/>
      <w:szCs w:val="20"/>
    </w:rPr>
  </w:style>
  <w:style w:type="character" w:customStyle="1" w:styleId="CommentTextChar">
    <w:name w:val="Comment Text Char"/>
    <w:basedOn w:val="DefaultParagraphFont"/>
    <w:link w:val="CommentText"/>
    <w:uiPriority w:val="99"/>
    <w:rsid w:val="000734E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734EA"/>
    <w:rPr>
      <w:b/>
      <w:bCs/>
    </w:rPr>
  </w:style>
  <w:style w:type="character" w:customStyle="1" w:styleId="CommentSubjectChar">
    <w:name w:val="Comment Subject Char"/>
    <w:basedOn w:val="CommentTextChar"/>
    <w:link w:val="CommentSubject"/>
    <w:uiPriority w:val="99"/>
    <w:semiHidden/>
    <w:rsid w:val="000734EA"/>
    <w:rPr>
      <w:rFonts w:asciiTheme="minorHAnsi" w:hAnsiTheme="minorHAnsi"/>
      <w:b/>
      <w:bCs/>
      <w:sz w:val="20"/>
      <w:szCs w:val="20"/>
    </w:rPr>
  </w:style>
  <w:style w:type="paragraph" w:customStyle="1" w:styleId="paragraph">
    <w:name w:val="paragraph"/>
    <w:basedOn w:val="Normal"/>
    <w:rsid w:val="00FA7780"/>
    <w:pPr>
      <w:spacing w:before="100" w:beforeAutospacing="1" w:after="100" w:afterAutospacing="1" w:line="240" w:lineRule="auto"/>
    </w:pPr>
    <w:rPr>
      <w:rFonts w:ascii="Times New Roman" w:eastAsia="Times New Roman" w:hAnsi="Times New Roman"/>
      <w:sz w:val="24"/>
      <w:lang w:eastAsia="en-AU"/>
    </w:rPr>
  </w:style>
  <w:style w:type="character" w:customStyle="1" w:styleId="eop">
    <w:name w:val="eop"/>
    <w:basedOn w:val="DefaultParagraphFont"/>
    <w:rsid w:val="00FA7780"/>
  </w:style>
  <w:style w:type="character" w:styleId="UnresolvedMention">
    <w:name w:val="Unresolved Mention"/>
    <w:basedOn w:val="DefaultParagraphFont"/>
    <w:uiPriority w:val="99"/>
    <w:unhideWhenUsed/>
    <w:rsid w:val="00023387"/>
    <w:rPr>
      <w:color w:val="605E5C"/>
      <w:shd w:val="clear" w:color="auto" w:fill="E1DFDD"/>
    </w:rPr>
  </w:style>
  <w:style w:type="character" w:styleId="Mention">
    <w:name w:val="Mention"/>
    <w:basedOn w:val="DefaultParagraphFont"/>
    <w:uiPriority w:val="99"/>
    <w:unhideWhenUsed/>
    <w:rsid w:val="00023387"/>
    <w:rPr>
      <w:color w:val="2B579A"/>
      <w:shd w:val="clear" w:color="auto" w:fill="E1DFDD"/>
    </w:rPr>
  </w:style>
  <w:style w:type="character" w:customStyle="1" w:styleId="Heading1Char">
    <w:name w:val="Heading 1 Char"/>
    <w:basedOn w:val="DefaultParagraphFont"/>
    <w:link w:val="Heading1"/>
    <w:uiPriority w:val="9"/>
    <w:rsid w:val="00BF7BEC"/>
    <w:rPr>
      <w:rFonts w:asciiTheme="minorHAnsi" w:eastAsiaTheme="majorEastAsia" w:hAnsiTheme="minorHAnsi" w:cstheme="majorBidi"/>
      <w:b/>
      <w:color w:val="452669"/>
      <w:sz w:val="48"/>
      <w:szCs w:val="32"/>
    </w:rPr>
  </w:style>
  <w:style w:type="character" w:customStyle="1" w:styleId="Heading2Char">
    <w:name w:val="Heading 2 Char"/>
    <w:basedOn w:val="DefaultParagraphFont"/>
    <w:link w:val="Heading2"/>
    <w:uiPriority w:val="9"/>
    <w:rsid w:val="00BF7BEC"/>
    <w:rPr>
      <w:rFonts w:asciiTheme="minorHAnsi" w:eastAsiaTheme="majorEastAsia" w:hAnsiTheme="minorHAnsi" w:cstheme="majorBidi"/>
      <w:b/>
      <w:color w:val="59237B"/>
      <w:sz w:val="40"/>
      <w:szCs w:val="26"/>
    </w:rPr>
  </w:style>
  <w:style w:type="character" w:customStyle="1" w:styleId="Heading3Char">
    <w:name w:val="Heading 3 Char"/>
    <w:basedOn w:val="DefaultParagraphFont"/>
    <w:link w:val="Heading3"/>
    <w:uiPriority w:val="9"/>
    <w:rsid w:val="00BF7BEC"/>
    <w:rPr>
      <w:rFonts w:asciiTheme="minorHAnsi" w:eastAsiaTheme="majorEastAsia" w:hAnsiTheme="minorHAnsi" w:cstheme="majorBidi"/>
      <w:b/>
      <w:color w:val="D94931"/>
      <w:sz w:val="36"/>
      <w:szCs w:val="28"/>
    </w:rPr>
  </w:style>
  <w:style w:type="paragraph" w:styleId="Title">
    <w:name w:val="Title"/>
    <w:basedOn w:val="Normal"/>
    <w:next w:val="Normal"/>
    <w:link w:val="TitleChar"/>
    <w:uiPriority w:val="10"/>
    <w:qFormat/>
    <w:rsid w:val="00EE3804"/>
    <w:rPr>
      <w:rFonts w:ascii="Arial" w:hAnsi="Arial" w:cs="Arial"/>
      <w:b/>
      <w:bCs/>
      <w:sz w:val="72"/>
      <w:szCs w:val="96"/>
    </w:rPr>
  </w:style>
  <w:style w:type="character" w:customStyle="1" w:styleId="TitleChar">
    <w:name w:val="Title Char"/>
    <w:basedOn w:val="DefaultParagraphFont"/>
    <w:link w:val="Title"/>
    <w:uiPriority w:val="10"/>
    <w:rsid w:val="00EE3804"/>
    <w:rPr>
      <w:rFonts w:ascii="Arial" w:hAnsi="Arial" w:cs="Arial"/>
      <w:b/>
      <w:bCs/>
      <w:sz w:val="72"/>
      <w:szCs w:val="96"/>
    </w:rPr>
  </w:style>
  <w:style w:type="character" w:customStyle="1" w:styleId="Heading4Char">
    <w:name w:val="Heading 4 Char"/>
    <w:basedOn w:val="DefaultParagraphFont"/>
    <w:link w:val="Heading4"/>
    <w:uiPriority w:val="9"/>
    <w:rsid w:val="00BF7BEC"/>
    <w:rPr>
      <w:rFonts w:asciiTheme="minorHAnsi" w:eastAsiaTheme="majorEastAsia" w:hAnsiTheme="minorHAnsi" w:cstheme="minorHAnsi"/>
      <w:b/>
      <w:bCs/>
      <w:color w:val="174F9A"/>
      <w:sz w:val="32"/>
      <w:szCs w:val="28"/>
    </w:rPr>
  </w:style>
  <w:style w:type="table" w:styleId="TableGrid">
    <w:name w:val="Table Grid"/>
    <w:basedOn w:val="TableNormal"/>
    <w:uiPriority w:val="39"/>
    <w:rsid w:val="00E32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328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CB3C02"/>
    <w:pPr>
      <w:outlineLvl w:val="9"/>
    </w:pPr>
    <w:rPr>
      <w:rFonts w:asciiTheme="majorHAnsi" w:hAnsiTheme="majorHAnsi"/>
      <w:b w:val="0"/>
      <w:color w:val="331C4E" w:themeColor="accent1" w:themeShade="BF"/>
      <w:sz w:val="32"/>
      <w:lang w:val="en-US"/>
    </w:rPr>
  </w:style>
  <w:style w:type="paragraph" w:styleId="TOC1">
    <w:name w:val="toc 1"/>
    <w:basedOn w:val="Normal"/>
    <w:next w:val="Normal"/>
    <w:autoRedefine/>
    <w:uiPriority w:val="39"/>
    <w:unhideWhenUsed/>
    <w:rsid w:val="00CB3C02"/>
    <w:pPr>
      <w:spacing w:after="100"/>
    </w:pPr>
  </w:style>
  <w:style w:type="paragraph" w:styleId="TOC2">
    <w:name w:val="toc 2"/>
    <w:basedOn w:val="Normal"/>
    <w:next w:val="Normal"/>
    <w:autoRedefine/>
    <w:uiPriority w:val="39"/>
    <w:unhideWhenUsed/>
    <w:rsid w:val="00CB3C02"/>
    <w:pPr>
      <w:spacing w:after="100"/>
      <w:ind w:left="220"/>
    </w:pPr>
  </w:style>
  <w:style w:type="character" w:styleId="Hyperlink">
    <w:name w:val="Hyperlink"/>
    <w:basedOn w:val="DefaultParagraphFont"/>
    <w:uiPriority w:val="99"/>
    <w:unhideWhenUsed/>
    <w:rsid w:val="00CB3C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72428">
      <w:bodyDiv w:val="1"/>
      <w:marLeft w:val="0"/>
      <w:marRight w:val="0"/>
      <w:marTop w:val="0"/>
      <w:marBottom w:val="0"/>
      <w:divBdr>
        <w:top w:val="none" w:sz="0" w:space="0" w:color="auto"/>
        <w:left w:val="none" w:sz="0" w:space="0" w:color="auto"/>
        <w:bottom w:val="none" w:sz="0" w:space="0" w:color="auto"/>
        <w:right w:val="none" w:sz="0" w:space="0" w:color="auto"/>
      </w:divBdr>
    </w:div>
    <w:div w:id="189242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sc.gov.au/circulars-guidance-and-advice/handling-misconduct-human-resource-managers-gui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eme1">
  <a:themeElements>
    <a:clrScheme name="Custom 3">
      <a:dk1>
        <a:sysClr val="windowText" lastClr="000000"/>
      </a:dk1>
      <a:lt1>
        <a:sysClr val="window" lastClr="FFFFFF"/>
      </a:lt1>
      <a:dk2>
        <a:srgbClr val="452669"/>
      </a:dk2>
      <a:lt2>
        <a:srgbClr val="E7E6E6"/>
      </a:lt2>
      <a:accent1>
        <a:srgbClr val="452669"/>
      </a:accent1>
      <a:accent2>
        <a:srgbClr val="59237B"/>
      </a:accent2>
      <a:accent3>
        <a:srgbClr val="C596C4"/>
      </a:accent3>
      <a:accent4>
        <a:srgbClr val="78226D"/>
      </a:accent4>
      <a:accent5>
        <a:srgbClr val="174F9A"/>
      </a:accent5>
      <a:accent6>
        <a:srgbClr val="D9493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CCF6E1C79CA343841FDB4AFB6722C7" ma:contentTypeVersion="4" ma:contentTypeDescription="Create a new document." ma:contentTypeScope="" ma:versionID="8fb7f04f191af12078eb08edbebb9c34">
  <xsd:schema xmlns:xsd="http://www.w3.org/2001/XMLSchema" xmlns:xs="http://www.w3.org/2001/XMLSchema" xmlns:p="http://schemas.microsoft.com/office/2006/metadata/properties" xmlns:ns2="6d7a0864-89c4-4337-b51e-9e4ad515723a" targetNamespace="http://schemas.microsoft.com/office/2006/metadata/properties" ma:root="true" ma:fieldsID="646838b257cf7df1c248126235fa12d7" ns2:_="">
    <xsd:import namespace="6d7a0864-89c4-4337-b51e-9e4ad51572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Policy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a0864-89c4-4337-b51e-9e4ad515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Policyreviewedby" ma:index="11" nillable="true" ma:displayName="Policy reviewed by" ma:description="Updated status of where the policy is at" ma:format="RadioButtons" ma:internalName="Policyreviewedby">
      <xsd:simpleType>
        <xsd:restriction base="dms:Choice">
          <xsd:enumeration value="Director"/>
          <xsd:enumeration value="COO"/>
          <xsd:enumeration value="IIG"/>
          <xsd:enumeration value="Finalised (ready for trimm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licyreviewedby xmlns="6d7a0864-89c4-4337-b51e-9e4ad51572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AF45C-C102-409D-AB19-E2EF05EC3402}">
  <ds:schemaRefs>
    <ds:schemaRef ds:uri="http://schemas.openxmlformats.org/officeDocument/2006/bibliography"/>
  </ds:schemaRefs>
</ds:datastoreItem>
</file>

<file path=customXml/itemProps2.xml><?xml version="1.0" encoding="utf-8"?>
<ds:datastoreItem xmlns:ds="http://schemas.openxmlformats.org/officeDocument/2006/customXml" ds:itemID="{D7B87DC0-CA7B-4DEC-B793-EFB83BDA8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a0864-89c4-4337-b51e-9e4ad5157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A0059-864B-429E-8C78-E921199D870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d7a0864-89c4-4337-b51e-9e4ad515723a"/>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B60411E-F07D-4D39-935B-D3D15D22C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Procedures for determining</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determining breaches of the APS Code of Conduct and for determining sanctions</dc:title>
  <dc:subject/>
  <dc:creator>Office of the Inspector-General of Aged Care</dc:creator>
  <cp:keywords/>
  <dc:description/>
  <cp:lastModifiedBy>ROBERTSON, Jen</cp:lastModifiedBy>
  <cp:revision>3</cp:revision>
  <cp:lastPrinted>2023-10-12T22:31:00Z</cp:lastPrinted>
  <dcterms:created xsi:type="dcterms:W3CDTF">2023-10-29T22:44:00Z</dcterms:created>
  <dcterms:modified xsi:type="dcterms:W3CDTF">2023-10-29T22:48:00Z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0x010100F1CCF6E1C79CA343841FDB4AFB6722C7</vt:lpwstr>
  </property>
  <property fmtid="{D5CDD505-2E9C-101B-9397-08002B2CF9AE}" pid="3" name="MediaServiceImageTags">
    <vt:lpwstr/>
  </property>
</Properties>
</file>