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9E9D" w14:textId="76B8F056" w:rsidR="003724EB" w:rsidRPr="00723097" w:rsidRDefault="0071312D" w:rsidP="00723097">
      <w:pPr>
        <w:spacing w:before="960" w:after="480"/>
        <w:rPr>
          <w:rFonts w:eastAsiaTheme="minorHAnsi" w:cs="Arial"/>
          <w:b/>
          <w:bCs/>
          <w:color w:val="FFFFFF" w:themeColor="background1"/>
          <w:sz w:val="96"/>
          <w:szCs w:val="96"/>
        </w:rPr>
      </w:pPr>
      <w:r>
        <w:rPr>
          <w:rFonts w:cs="Arial"/>
          <w:b/>
          <w:bCs/>
          <w:noProof/>
          <w:color w:val="FFFFFF" w:themeColor="background1"/>
          <w:sz w:val="96"/>
          <w:szCs w:val="96"/>
        </w:rPr>
        <w:drawing>
          <wp:anchor distT="0" distB="0" distL="114300" distR="114300" simplePos="0" relativeHeight="251653632" behindDoc="1" locked="0" layoutInCell="1" allowOverlap="1" wp14:anchorId="50525A8B" wp14:editId="08A6897C">
            <wp:simplePos x="0" y="0"/>
            <wp:positionH relativeFrom="column">
              <wp:posOffset>-534775</wp:posOffset>
            </wp:positionH>
            <wp:positionV relativeFrom="paragraph">
              <wp:posOffset>-614636</wp:posOffset>
            </wp:positionV>
            <wp:extent cx="3326525" cy="665157"/>
            <wp:effectExtent l="0" t="0" r="0" b="190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525" cy="66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B59" w:rsidRPr="00F040AD">
        <w:rPr>
          <w:rFonts w:cstheme="minorHAnsi"/>
          <w:b/>
          <w:bCs/>
          <w:noProof/>
          <w:color w:val="FFFFFF" w:themeColor="background1"/>
          <w:sz w:val="72"/>
          <w:szCs w:val="96"/>
        </w:rPr>
        <w:drawing>
          <wp:anchor distT="0" distB="0" distL="114300" distR="114300" simplePos="0" relativeHeight="251650560" behindDoc="1" locked="0" layoutInCell="1" allowOverlap="1" wp14:anchorId="00273C78" wp14:editId="125D9672">
            <wp:simplePos x="0" y="0"/>
            <wp:positionH relativeFrom="column">
              <wp:posOffset>-923925</wp:posOffset>
            </wp:positionH>
            <wp:positionV relativeFrom="paragraph">
              <wp:posOffset>-904050</wp:posOffset>
            </wp:positionV>
            <wp:extent cx="7588250" cy="10736580"/>
            <wp:effectExtent l="0" t="0" r="0" b="7620"/>
            <wp:wrapNone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C36">
        <w:rPr>
          <w:rFonts w:eastAsiaTheme="minorHAnsi" w:cs="Arial"/>
          <w:b/>
          <w:bCs/>
          <w:color w:val="FFFFFF" w:themeColor="background1"/>
          <w:sz w:val="96"/>
          <w:szCs w:val="96"/>
        </w:rPr>
        <w:t>Corporate Plan</w:t>
      </w:r>
    </w:p>
    <w:p w14:paraId="0F765BA0" w14:textId="071D8300" w:rsidR="007E6F2F" w:rsidRPr="00723097" w:rsidRDefault="00C67D12" w:rsidP="00723097">
      <w:pPr>
        <w:spacing w:after="1440" w:line="259" w:lineRule="auto"/>
        <w:rPr>
          <w:rFonts w:eastAsiaTheme="minorHAnsi" w:cs="Arial"/>
          <w:color w:val="FFFFFF" w:themeColor="background1"/>
          <w:sz w:val="40"/>
          <w:szCs w:val="44"/>
        </w:rPr>
      </w:pPr>
      <w:r>
        <w:rPr>
          <w:rFonts w:eastAsiaTheme="minorHAnsi" w:cs="Arial"/>
          <w:color w:val="FFFFFF" w:themeColor="background1"/>
          <w:sz w:val="40"/>
          <w:szCs w:val="44"/>
        </w:rPr>
        <w:t>2023-24</w:t>
      </w:r>
    </w:p>
    <w:p w14:paraId="4951E766" w14:textId="32B5D8E0" w:rsidR="007E110D" w:rsidRPr="00723097" w:rsidRDefault="00C67D12" w:rsidP="00723097">
      <w:pPr>
        <w:rPr>
          <w:rFonts w:cs="Arial"/>
          <w:color w:val="FFFFFF" w:themeColor="background1"/>
          <w:sz w:val="40"/>
          <w:szCs w:val="44"/>
        </w:rPr>
      </w:pPr>
      <w:r>
        <w:rPr>
          <w:rFonts w:cs="Arial"/>
          <w:color w:val="FFFFFF" w:themeColor="background1"/>
          <w:sz w:val="40"/>
          <w:szCs w:val="44"/>
        </w:rPr>
        <w:t>December 2023</w:t>
      </w:r>
    </w:p>
    <w:p w14:paraId="66272126" w14:textId="03C7E58D" w:rsidR="007E110D" w:rsidRPr="009F0470" w:rsidRDefault="007E110D" w:rsidP="004200D9">
      <w:pPr>
        <w:spacing w:after="160"/>
        <w:rPr>
          <w:rFonts w:eastAsiaTheme="majorEastAsia" w:cs="Arial"/>
          <w:color w:val="77226C"/>
          <w:sz w:val="32"/>
          <w:szCs w:val="32"/>
        </w:rPr>
      </w:pPr>
      <w:r w:rsidRPr="009F0470">
        <w:rPr>
          <w:rFonts w:eastAsiaTheme="majorEastAsia" w:cs="Arial"/>
          <w:color w:val="77226C"/>
          <w:sz w:val="32"/>
          <w:szCs w:val="32"/>
        </w:rPr>
        <w:br w:type="page"/>
      </w:r>
    </w:p>
    <w:p w14:paraId="062F9AA1" w14:textId="2657EAE7" w:rsidR="007E110D" w:rsidRPr="009F0470" w:rsidRDefault="00CF391D" w:rsidP="00CF391D">
      <w:pPr>
        <w:tabs>
          <w:tab w:val="left" w:pos="8099"/>
        </w:tabs>
      </w:pPr>
      <w:r>
        <w:lastRenderedPageBreak/>
        <w:tab/>
      </w:r>
    </w:p>
    <w:sdt>
      <w:sdtPr>
        <w:rPr>
          <w:rFonts w:ascii="Arial" w:eastAsia="Times New Roman" w:hAnsi="Arial" w:cs="Times New Roman"/>
          <w:bCs w:val="0"/>
          <w:color w:val="auto"/>
          <w:sz w:val="22"/>
          <w:szCs w:val="24"/>
          <w:lang w:val="en-AU"/>
        </w:rPr>
        <w:id w:val="1502087984"/>
        <w:docPartObj>
          <w:docPartGallery w:val="Table of Contents"/>
          <w:docPartUnique/>
        </w:docPartObj>
      </w:sdtPr>
      <w:sdtContent>
        <w:p w14:paraId="6B4BD493" w14:textId="03E900EB" w:rsidR="007E110D" w:rsidRPr="00D16D63" w:rsidRDefault="007E110D" w:rsidP="005D2CDE">
          <w:pPr>
            <w:pStyle w:val="TOCHeading"/>
            <w:rPr>
              <w:rStyle w:val="Heading1Char"/>
              <w:rFonts w:eastAsiaTheme="majorEastAsia"/>
              <w:sz w:val="40"/>
              <w:szCs w:val="36"/>
            </w:rPr>
          </w:pPr>
          <w:r w:rsidRPr="00D16D63">
            <w:rPr>
              <w:rStyle w:val="Heading1Char"/>
              <w:rFonts w:eastAsiaTheme="majorEastAsia"/>
              <w:sz w:val="40"/>
              <w:szCs w:val="36"/>
            </w:rPr>
            <w:t>Contents</w:t>
          </w:r>
        </w:p>
        <w:p w14:paraId="1CD4F856" w14:textId="77777777" w:rsidR="00D77BB0" w:rsidRPr="00D77BB0" w:rsidRDefault="00D77BB0" w:rsidP="004200D9">
          <w:pPr>
            <w:rPr>
              <w:lang w:val="en-US"/>
            </w:rPr>
          </w:pPr>
        </w:p>
        <w:p w14:paraId="57D88F9F" w14:textId="2E579B22" w:rsidR="00567C22" w:rsidRDefault="007E110D">
          <w:pPr>
            <w:pStyle w:val="TOC1"/>
            <w:rPr>
              <w:rFonts w:asciiTheme="minorHAnsi" w:hAnsiTheme="minorHAnsi" w:cstheme="minorBidi"/>
              <w:lang w:val="en-AU" w:eastAsia="en-AU"/>
            </w:rPr>
          </w:pPr>
          <w:r w:rsidRPr="009F0470">
            <w:rPr>
              <w:noProof w:val="0"/>
            </w:rPr>
            <w:fldChar w:fldCharType="begin"/>
          </w:r>
          <w:r w:rsidRPr="009F0470">
            <w:instrText xml:space="preserve"> TOC \o "1-3" \h \z \u </w:instrText>
          </w:r>
          <w:r w:rsidRPr="009F0470">
            <w:rPr>
              <w:noProof w:val="0"/>
            </w:rPr>
            <w:fldChar w:fldCharType="separate"/>
          </w:r>
          <w:hyperlink w:anchor="_Toc152857313" w:history="1">
            <w:r w:rsidR="00567C22" w:rsidRPr="008F1602">
              <w:rPr>
                <w:rStyle w:val="Hyperlink"/>
              </w:rPr>
              <w:t>Introduction</w:t>
            </w:r>
            <w:r w:rsidR="00567C22">
              <w:rPr>
                <w:webHidden/>
              </w:rPr>
              <w:tab/>
            </w:r>
            <w:r w:rsidR="00567C22">
              <w:rPr>
                <w:webHidden/>
              </w:rPr>
              <w:fldChar w:fldCharType="begin"/>
            </w:r>
            <w:r w:rsidR="00567C22">
              <w:rPr>
                <w:webHidden/>
              </w:rPr>
              <w:instrText xml:space="preserve"> PAGEREF _Toc152857313 \h </w:instrText>
            </w:r>
            <w:r w:rsidR="00567C22">
              <w:rPr>
                <w:webHidden/>
              </w:rPr>
            </w:r>
            <w:r w:rsidR="00567C22">
              <w:rPr>
                <w:webHidden/>
              </w:rPr>
              <w:fldChar w:fldCharType="separate"/>
            </w:r>
            <w:r w:rsidR="00567C22">
              <w:rPr>
                <w:webHidden/>
              </w:rPr>
              <w:t>3</w:t>
            </w:r>
            <w:r w:rsidR="00567C22">
              <w:rPr>
                <w:webHidden/>
              </w:rPr>
              <w:fldChar w:fldCharType="end"/>
            </w:r>
          </w:hyperlink>
        </w:p>
        <w:p w14:paraId="2A0A9A4F" w14:textId="53369227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14" w:history="1">
            <w:r w:rsidR="00567C22" w:rsidRPr="008F1602">
              <w:rPr>
                <w:rStyle w:val="Hyperlink"/>
                <w:noProof/>
              </w:rPr>
              <w:t>Acting Inspector-General’s Foreword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_Toc152857314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3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73CE907A" w14:textId="55F112FC" w:rsidR="00567C22" w:rsidRDefault="00000000">
          <w:pPr>
            <w:pStyle w:val="TOC1"/>
            <w:rPr>
              <w:rFonts w:asciiTheme="minorHAnsi" w:hAnsiTheme="minorHAnsi" w:cstheme="minorBidi"/>
              <w:lang w:val="en-AU" w:eastAsia="en-AU"/>
            </w:rPr>
          </w:pPr>
          <w:hyperlink w:anchor="_Toc152857315" w:history="1">
            <w:r w:rsidR="00567C22" w:rsidRPr="008F1602">
              <w:rPr>
                <w:rStyle w:val="Hyperlink"/>
              </w:rPr>
              <w:t>Purpose</w:t>
            </w:r>
            <w:r w:rsidR="00567C22">
              <w:rPr>
                <w:webHidden/>
              </w:rPr>
              <w:tab/>
            </w:r>
            <w:r w:rsidR="00567C22">
              <w:rPr>
                <w:webHidden/>
              </w:rPr>
              <w:fldChar w:fldCharType="begin"/>
            </w:r>
            <w:r w:rsidR="00567C22">
              <w:rPr>
                <w:webHidden/>
              </w:rPr>
              <w:instrText xml:space="preserve"> PAGEREF _Toc152857315 \h </w:instrText>
            </w:r>
            <w:r w:rsidR="00567C22">
              <w:rPr>
                <w:webHidden/>
              </w:rPr>
            </w:r>
            <w:r w:rsidR="00567C22">
              <w:rPr>
                <w:webHidden/>
              </w:rPr>
              <w:fldChar w:fldCharType="separate"/>
            </w:r>
            <w:r w:rsidR="00567C22">
              <w:rPr>
                <w:webHidden/>
              </w:rPr>
              <w:t>5</w:t>
            </w:r>
            <w:r w:rsidR="00567C22">
              <w:rPr>
                <w:webHidden/>
              </w:rPr>
              <w:fldChar w:fldCharType="end"/>
            </w:r>
          </w:hyperlink>
        </w:p>
        <w:p w14:paraId="568998F9" w14:textId="65D3BBA6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16" w:history="1">
            <w:r w:rsidR="00567C22" w:rsidRPr="008F1602">
              <w:rPr>
                <w:rStyle w:val="Hyperlink"/>
                <w:noProof/>
              </w:rPr>
              <w:t>Vision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_Toc152857316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5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77BE5DA6" w14:textId="130A2E22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17" w:history="1">
            <w:r w:rsidR="00567C22" w:rsidRPr="008F1602">
              <w:rPr>
                <w:rStyle w:val="Hyperlink"/>
                <w:noProof/>
              </w:rPr>
              <w:t>Who we are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_Toc152857317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5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5D1B974C" w14:textId="63484E3A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18" w:history="1">
            <w:r w:rsidR="00567C22" w:rsidRPr="008F1602">
              <w:rPr>
                <w:rStyle w:val="Hyperlink"/>
                <w:noProof/>
              </w:rPr>
              <w:t>Why we were established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_Toc152857318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6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06883154" w14:textId="12A5013B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19" w:history="1">
            <w:r w:rsidR="00567C22" w:rsidRPr="008F1602">
              <w:rPr>
                <w:rStyle w:val="Hyperlink"/>
                <w:noProof/>
              </w:rPr>
              <w:t>Our values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_Toc152857319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6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31D91A84" w14:textId="4775FCCB" w:rsidR="00567C22" w:rsidRDefault="00000000">
          <w:pPr>
            <w:pStyle w:val="TOC1"/>
            <w:rPr>
              <w:rFonts w:asciiTheme="minorHAnsi" w:hAnsiTheme="minorHAnsi" w:cstheme="minorBidi"/>
              <w:lang w:val="en-AU" w:eastAsia="en-AU"/>
            </w:rPr>
          </w:pPr>
          <w:hyperlink w:anchor="_Toc152857320" w:history="1">
            <w:r w:rsidR="00567C22" w:rsidRPr="008F1602">
              <w:rPr>
                <w:rStyle w:val="Hyperlink"/>
              </w:rPr>
              <w:t>Key activities</w:t>
            </w:r>
            <w:r w:rsidR="00567C22">
              <w:rPr>
                <w:webHidden/>
              </w:rPr>
              <w:tab/>
            </w:r>
            <w:r w:rsidR="00567C22">
              <w:rPr>
                <w:webHidden/>
              </w:rPr>
              <w:fldChar w:fldCharType="begin"/>
            </w:r>
            <w:r w:rsidR="00567C22">
              <w:rPr>
                <w:webHidden/>
              </w:rPr>
              <w:instrText xml:space="preserve"> PAGEREF _Toc152857320 \h </w:instrText>
            </w:r>
            <w:r w:rsidR="00567C22">
              <w:rPr>
                <w:webHidden/>
              </w:rPr>
            </w:r>
            <w:r w:rsidR="00567C22">
              <w:rPr>
                <w:webHidden/>
              </w:rPr>
              <w:fldChar w:fldCharType="separate"/>
            </w:r>
            <w:r w:rsidR="00567C22">
              <w:rPr>
                <w:webHidden/>
              </w:rPr>
              <w:t>6</w:t>
            </w:r>
            <w:r w:rsidR="00567C22">
              <w:rPr>
                <w:webHidden/>
              </w:rPr>
              <w:fldChar w:fldCharType="end"/>
            </w:r>
          </w:hyperlink>
        </w:p>
        <w:p w14:paraId="70DAF9DD" w14:textId="7EE1F587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21" w:history="1">
            <w:r w:rsidR="00567C22" w:rsidRPr="008F1602">
              <w:rPr>
                <w:rStyle w:val="Hyperlink"/>
                <w:noProof/>
              </w:rPr>
              <w:t>What we do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_Toc152857321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6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1BB0912B" w14:textId="7A3F3BA7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22" w:history="1">
            <w:r w:rsidR="00567C22" w:rsidRPr="008F1602">
              <w:rPr>
                <w:rStyle w:val="Hyperlink"/>
                <w:noProof/>
              </w:rPr>
              <w:t>Monitoring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_Toc152857322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6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5FBDD817" w14:textId="2B222E6F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23" w:history="1">
            <w:r w:rsidR="00567C22" w:rsidRPr="008F1602">
              <w:rPr>
                <w:rStyle w:val="Hyperlink"/>
                <w:noProof/>
              </w:rPr>
              <w:t>Reviews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_Toc152857323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7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1117D069" w14:textId="074629C8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24" w:history="1">
            <w:r w:rsidR="00567C22" w:rsidRPr="008F1602">
              <w:rPr>
                <w:rStyle w:val="Hyperlink"/>
                <w:noProof/>
              </w:rPr>
              <w:t>Reports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_Toc152857324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7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59A30EC1" w14:textId="7A74ED34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25" w:history="1">
            <w:r w:rsidR="00567C22" w:rsidRPr="008F1602">
              <w:rPr>
                <w:rStyle w:val="Hyperlink"/>
                <w:noProof/>
              </w:rPr>
              <w:t>Oversight of complaints management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_Toc152857325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7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5F79EE4F" w14:textId="280083D2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26" w:history="1">
            <w:r w:rsidR="00567C22" w:rsidRPr="008F1602">
              <w:rPr>
                <w:rStyle w:val="Hyperlink"/>
                <w:noProof/>
              </w:rPr>
              <w:t>Inform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_Toc152857326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8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63B831A0" w14:textId="38CBF85A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27" w:history="1">
            <w:r w:rsidR="00567C22" w:rsidRPr="008F1602">
              <w:rPr>
                <w:rStyle w:val="Hyperlink"/>
                <w:noProof/>
              </w:rPr>
              <w:t>Engage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_Toc152857327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8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2C54BAAA" w14:textId="53FCC847" w:rsidR="00567C22" w:rsidRDefault="00000000">
          <w:pPr>
            <w:pStyle w:val="TOC1"/>
            <w:rPr>
              <w:rFonts w:asciiTheme="minorHAnsi" w:hAnsiTheme="minorHAnsi" w:cstheme="minorBidi"/>
              <w:lang w:val="en-AU" w:eastAsia="en-AU"/>
            </w:rPr>
          </w:pPr>
          <w:hyperlink w:anchor="_Toc152857328" w:history="1">
            <w:r w:rsidR="00567C22" w:rsidRPr="008F1602">
              <w:rPr>
                <w:rStyle w:val="Hyperlink"/>
              </w:rPr>
              <w:t>Operating context</w:t>
            </w:r>
            <w:r w:rsidR="00567C22">
              <w:rPr>
                <w:webHidden/>
              </w:rPr>
              <w:tab/>
            </w:r>
            <w:r w:rsidR="00567C22">
              <w:rPr>
                <w:webHidden/>
              </w:rPr>
              <w:fldChar w:fldCharType="begin"/>
            </w:r>
            <w:r w:rsidR="00567C22">
              <w:rPr>
                <w:webHidden/>
              </w:rPr>
              <w:instrText xml:space="preserve"> PAGEREF _Toc152857328 \h </w:instrText>
            </w:r>
            <w:r w:rsidR="00567C22">
              <w:rPr>
                <w:webHidden/>
              </w:rPr>
            </w:r>
            <w:r w:rsidR="00567C22">
              <w:rPr>
                <w:webHidden/>
              </w:rPr>
              <w:fldChar w:fldCharType="separate"/>
            </w:r>
            <w:r w:rsidR="00567C22">
              <w:rPr>
                <w:webHidden/>
              </w:rPr>
              <w:t>8</w:t>
            </w:r>
            <w:r w:rsidR="00567C22">
              <w:rPr>
                <w:webHidden/>
              </w:rPr>
              <w:fldChar w:fldCharType="end"/>
            </w:r>
          </w:hyperlink>
        </w:p>
        <w:p w14:paraId="4989E90B" w14:textId="764FA63E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29" w:history="1">
            <w:r w:rsidR="00567C22" w:rsidRPr="008F1602">
              <w:rPr>
                <w:rStyle w:val="Hyperlink"/>
                <w:noProof/>
              </w:rPr>
              <w:t>Environment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_Toc152857329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8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4ABE2A4E" w14:textId="36388397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30" w:history="1">
            <w:r w:rsidR="00567C22" w:rsidRPr="008F1602">
              <w:rPr>
                <w:rStyle w:val="Hyperlink"/>
                <w:noProof/>
              </w:rPr>
              <w:t>Capability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_Toc152857330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9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7C69CDF8" w14:textId="38DED4A9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31" w:history="1">
            <w:r w:rsidR="00567C22" w:rsidRPr="008F1602">
              <w:rPr>
                <w:rStyle w:val="Hyperlink"/>
                <w:noProof/>
              </w:rPr>
              <w:t>Workforce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_Toc152857331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9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020FA8EB" w14:textId="64E00918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32" w:history="1">
            <w:r w:rsidR="00567C22" w:rsidRPr="008F1602">
              <w:rPr>
                <w:rStyle w:val="Hyperlink"/>
                <w:noProof/>
              </w:rPr>
              <w:t>Organisational chart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_Toc152857332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9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2DD002BC" w14:textId="2C71CAAC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33" w:history="1">
            <w:r w:rsidR="00567C22" w:rsidRPr="008F1602">
              <w:rPr>
                <w:rStyle w:val="Hyperlink"/>
                <w:noProof/>
              </w:rPr>
              <w:t>Technology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_Toc152857333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10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2005A517" w14:textId="384857EB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34" w:history="1">
            <w:r w:rsidR="00567C22" w:rsidRPr="008F1602">
              <w:rPr>
                <w:rStyle w:val="Hyperlink"/>
                <w:noProof/>
              </w:rPr>
              <w:t>Our principles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_Toc152857334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10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139B3614" w14:textId="634FF897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35" w:history="1">
            <w:r w:rsidR="00567C22" w:rsidRPr="008F1602">
              <w:rPr>
                <w:rStyle w:val="Hyperlink"/>
                <w:noProof/>
              </w:rPr>
              <w:t>Risk oversight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_Toc152857335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11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4476651F" w14:textId="110F143E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36" w:history="1">
            <w:r w:rsidR="00567C22" w:rsidRPr="008F1602">
              <w:rPr>
                <w:rStyle w:val="Hyperlink"/>
                <w:noProof/>
              </w:rPr>
              <w:t>Oversight and assurance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_Toc152857336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11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0D123786" w14:textId="78C897CE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37" w:history="1">
            <w:r w:rsidR="00567C22" w:rsidRPr="008F1602">
              <w:rPr>
                <w:rStyle w:val="Hyperlink"/>
                <w:noProof/>
              </w:rPr>
              <w:t>Risk management and key risks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_Toc152857337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11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0EE8BA51" w14:textId="69668828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38" w:history="1">
            <w:r w:rsidR="00567C22" w:rsidRPr="008F1602">
              <w:rPr>
                <w:rStyle w:val="Hyperlink"/>
                <w:noProof/>
              </w:rPr>
              <w:t>Cooperation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_Toc152857338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11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11407677" w14:textId="41116B42" w:rsidR="00567C22" w:rsidRDefault="00000000">
          <w:pPr>
            <w:pStyle w:val="TOC1"/>
            <w:rPr>
              <w:rFonts w:asciiTheme="minorHAnsi" w:hAnsiTheme="minorHAnsi" w:cstheme="minorBidi"/>
              <w:lang w:val="en-AU" w:eastAsia="en-AU"/>
            </w:rPr>
          </w:pPr>
          <w:hyperlink w:anchor="_Toc152857339" w:history="1">
            <w:r w:rsidR="00567C22" w:rsidRPr="008F1602">
              <w:rPr>
                <w:rStyle w:val="Hyperlink"/>
              </w:rPr>
              <w:t>Performance</w:t>
            </w:r>
            <w:r w:rsidR="00567C22">
              <w:rPr>
                <w:webHidden/>
              </w:rPr>
              <w:tab/>
            </w:r>
            <w:r w:rsidR="00567C22">
              <w:rPr>
                <w:webHidden/>
              </w:rPr>
              <w:fldChar w:fldCharType="begin"/>
            </w:r>
            <w:r w:rsidR="00567C22">
              <w:rPr>
                <w:webHidden/>
              </w:rPr>
              <w:instrText xml:space="preserve"> PAGEREF _Toc152857339 \h </w:instrText>
            </w:r>
            <w:r w:rsidR="00567C22">
              <w:rPr>
                <w:webHidden/>
              </w:rPr>
            </w:r>
            <w:r w:rsidR="00567C22">
              <w:rPr>
                <w:webHidden/>
              </w:rPr>
              <w:fldChar w:fldCharType="separate"/>
            </w:r>
            <w:r w:rsidR="00567C22">
              <w:rPr>
                <w:webHidden/>
              </w:rPr>
              <w:t>12</w:t>
            </w:r>
            <w:r w:rsidR="00567C22">
              <w:rPr>
                <w:webHidden/>
              </w:rPr>
              <w:fldChar w:fldCharType="end"/>
            </w:r>
          </w:hyperlink>
        </w:p>
        <w:p w14:paraId="710D802E" w14:textId="466978D4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40" w:history="1">
            <w:r w:rsidR="00567C22" w:rsidRPr="008F1602">
              <w:rPr>
                <w:rStyle w:val="Hyperlink"/>
                <w:noProof/>
              </w:rPr>
              <w:t>Our objective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_Toc152857340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12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2DFB5375" w14:textId="6A257312" w:rsidR="00567C22" w:rsidRDefault="00000000">
          <w:pPr>
            <w:pStyle w:val="TOC3"/>
            <w:rPr>
              <w:rFonts w:cstheme="minorBidi"/>
              <w:noProof/>
              <w:lang w:val="en-AU" w:eastAsia="en-AU"/>
            </w:rPr>
          </w:pPr>
          <w:hyperlink w:anchor="_Toc152857341" w:history="1">
            <w:r w:rsidR="00567C22" w:rsidRPr="008F1602">
              <w:rPr>
                <w:rStyle w:val="Hyperlink"/>
                <w:noProof/>
              </w:rPr>
              <w:t>How will we measure our performance?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_Toc152857341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12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1DBD74F7" w14:textId="34CE063E" w:rsidR="00567C22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52857342" w:history="1">
            <w:r w:rsidR="00567C22" w:rsidRPr="008F1602">
              <w:rPr>
                <w:rStyle w:val="Hyperlink"/>
                <w:noProof/>
              </w:rPr>
              <w:t>Interim performance measures for 2023-24</w:t>
            </w:r>
            <w:r w:rsidR="00567C22">
              <w:rPr>
                <w:noProof/>
                <w:webHidden/>
              </w:rPr>
              <w:tab/>
            </w:r>
            <w:r w:rsidR="00567C22">
              <w:rPr>
                <w:noProof/>
                <w:webHidden/>
              </w:rPr>
              <w:fldChar w:fldCharType="begin"/>
            </w:r>
            <w:r w:rsidR="00567C22">
              <w:rPr>
                <w:noProof/>
                <w:webHidden/>
              </w:rPr>
              <w:instrText xml:space="preserve"> PAGEREF _Toc152857342 \h </w:instrText>
            </w:r>
            <w:r w:rsidR="00567C22">
              <w:rPr>
                <w:noProof/>
                <w:webHidden/>
              </w:rPr>
            </w:r>
            <w:r w:rsidR="00567C22">
              <w:rPr>
                <w:noProof/>
                <w:webHidden/>
              </w:rPr>
              <w:fldChar w:fldCharType="separate"/>
            </w:r>
            <w:r w:rsidR="00567C22">
              <w:rPr>
                <w:noProof/>
                <w:webHidden/>
              </w:rPr>
              <w:t>13</w:t>
            </w:r>
            <w:r w:rsidR="00567C22">
              <w:rPr>
                <w:noProof/>
                <w:webHidden/>
              </w:rPr>
              <w:fldChar w:fldCharType="end"/>
            </w:r>
          </w:hyperlink>
        </w:p>
        <w:p w14:paraId="632A27F9" w14:textId="083CE9D2" w:rsidR="007E110D" w:rsidRPr="007655C0" w:rsidRDefault="007E110D" w:rsidP="004200D9">
          <w:pPr>
            <w:pStyle w:val="TOC2"/>
            <w:tabs>
              <w:tab w:val="right" w:leader="dot" w:pos="9060"/>
            </w:tabs>
            <w:spacing w:after="180"/>
            <w:rPr>
              <w:rStyle w:val="Hyperlink"/>
              <w:lang w:eastAsia="en-AU"/>
            </w:rPr>
          </w:pPr>
          <w:r w:rsidRPr="009F0470">
            <w:fldChar w:fldCharType="end"/>
          </w:r>
        </w:p>
      </w:sdtContent>
    </w:sdt>
    <w:p w14:paraId="5941AEDC" w14:textId="77777777" w:rsidR="00620A50" w:rsidRDefault="00620A50" w:rsidP="004E4ACB">
      <w:pPr>
        <w:pStyle w:val="Heading1"/>
        <w:sectPr w:rsidR="00620A50" w:rsidSect="008725BD">
          <w:headerReference w:type="default" r:id="rId13"/>
          <w:footerReference w:type="default" r:id="rId14"/>
          <w:footerReference w:type="first" r:id="rId15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F7D0670" w14:textId="6F9AB2C7" w:rsidR="00C14C56" w:rsidRDefault="004E4ACB" w:rsidP="004E4ACB">
      <w:pPr>
        <w:pStyle w:val="Heading1"/>
      </w:pPr>
      <w:bookmarkStart w:id="0" w:name="_Toc152857313"/>
      <w:r>
        <w:lastRenderedPageBreak/>
        <w:t>Introduction</w:t>
      </w:r>
      <w:bookmarkEnd w:id="0"/>
    </w:p>
    <w:p w14:paraId="2D676D95" w14:textId="33EC5FC8" w:rsidR="003724EB" w:rsidRPr="00C479B8" w:rsidRDefault="00E220CB" w:rsidP="004E4ACB">
      <w:pPr>
        <w:pStyle w:val="Heading2"/>
      </w:pPr>
      <w:bookmarkStart w:id="1" w:name="_Toc152857314"/>
      <w:r w:rsidRPr="00C479B8">
        <w:t xml:space="preserve">Acting Inspector-General’s </w:t>
      </w:r>
      <w:r w:rsidR="00323B88" w:rsidRPr="00C479B8">
        <w:t>Foreword</w:t>
      </w:r>
      <w:bookmarkEnd w:id="1"/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E220CB" w14:paraId="3831FB0F" w14:textId="77777777" w:rsidTr="003512E9">
        <w:tc>
          <w:tcPr>
            <w:tcW w:w="2694" w:type="dxa"/>
            <w:shd w:val="clear" w:color="auto" w:fill="auto"/>
          </w:tcPr>
          <w:p w14:paraId="10CBCB27" w14:textId="79977164" w:rsidR="00B80AAF" w:rsidRDefault="00B80AAF" w:rsidP="00E220CB"/>
          <w:p w14:paraId="51F42A5A" w14:textId="563DA4F0" w:rsidR="00E220CB" w:rsidRDefault="00A06BCC" w:rsidP="00E220CB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3E3A460" wp14:editId="503EF5E2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74930</wp:posOffset>
                  </wp:positionV>
                  <wp:extent cx="1557791" cy="1647825"/>
                  <wp:effectExtent l="0" t="0" r="4445" b="0"/>
                  <wp:wrapNone/>
                  <wp:docPr id="10" name="Picture 10" descr="Photograph of the Acting Inspector-Gen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Photograph of the Acting Inspector-Gener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37"/>
                          <a:stretch/>
                        </pic:blipFill>
                        <pic:spPr bwMode="auto">
                          <a:xfrm>
                            <a:off x="0" y="0"/>
                            <a:ext cx="1557791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0A8E3C" w14:textId="097E8840" w:rsidR="00524BB9" w:rsidRDefault="00524BB9" w:rsidP="00E220CB"/>
          <w:p w14:paraId="60183A29" w14:textId="431D1F1D" w:rsidR="003551E6" w:rsidRDefault="003551E6" w:rsidP="00E220CB"/>
          <w:p w14:paraId="60415AF5" w14:textId="5BD9C6B4" w:rsidR="003551E6" w:rsidRDefault="003551E6" w:rsidP="00E220CB"/>
          <w:p w14:paraId="51727D14" w14:textId="77777777" w:rsidR="003551E6" w:rsidRDefault="003551E6" w:rsidP="00E220CB"/>
          <w:p w14:paraId="1092C331" w14:textId="77777777" w:rsidR="003551E6" w:rsidRDefault="003551E6" w:rsidP="00E220CB"/>
          <w:p w14:paraId="4780D4F4" w14:textId="77777777" w:rsidR="003551E6" w:rsidRDefault="003551E6" w:rsidP="00E220CB"/>
          <w:p w14:paraId="3E48588E" w14:textId="77777777" w:rsidR="003551E6" w:rsidRDefault="003551E6" w:rsidP="00E220CB"/>
          <w:p w14:paraId="173B0204" w14:textId="3480E7CB" w:rsidR="003551E6" w:rsidRDefault="003551E6" w:rsidP="00E220CB"/>
        </w:tc>
        <w:tc>
          <w:tcPr>
            <w:tcW w:w="6378" w:type="dxa"/>
            <w:shd w:val="clear" w:color="auto" w:fill="auto"/>
          </w:tcPr>
          <w:p w14:paraId="4DC92234" w14:textId="5C6BB2DD" w:rsidR="00E220CB" w:rsidRPr="00B80AAF" w:rsidRDefault="00BC118C" w:rsidP="00A06BCC">
            <w:pPr>
              <w:pStyle w:val="IntroPara"/>
              <w:spacing w:before="240"/>
            </w:pPr>
            <w:r w:rsidRPr="0078174E">
              <w:t xml:space="preserve">As the accountable authority of the Office of the Inspector-General of Aged Care, </w:t>
            </w:r>
            <w:r w:rsidR="00A27B1B" w:rsidRPr="0078174E">
              <w:t xml:space="preserve">I am pleased to </w:t>
            </w:r>
            <w:r w:rsidRPr="0078174E">
              <w:t xml:space="preserve">present </w:t>
            </w:r>
            <w:r w:rsidR="004F0D78">
              <w:t>our</w:t>
            </w:r>
            <w:r w:rsidR="00A27B1B" w:rsidRPr="0078174E">
              <w:t xml:space="preserve"> 2023-24</w:t>
            </w:r>
            <w:r w:rsidR="00492E6F" w:rsidRPr="0078174E">
              <w:t xml:space="preserve"> Corporate Plan for the period 2023-24 to 2026-27</w:t>
            </w:r>
            <w:r w:rsidRPr="0078174E">
              <w:t xml:space="preserve">, as required under paragraph 35(1)(b) of the </w:t>
            </w:r>
            <w:r w:rsidRPr="0078174E">
              <w:rPr>
                <w:i/>
                <w:iCs/>
              </w:rPr>
              <w:t>Public Governance, Performance and Accountability Act 2013</w:t>
            </w:r>
            <w:r w:rsidR="00CF3D80" w:rsidRPr="0078174E">
              <w:rPr>
                <w:i/>
                <w:iCs/>
              </w:rPr>
              <w:t>.</w:t>
            </w:r>
            <w:r w:rsidR="00CF3D80" w:rsidRPr="0078174E">
              <w:t xml:space="preserve"> The plan sets out how we will deliver on our purpose.</w:t>
            </w:r>
          </w:p>
        </w:tc>
      </w:tr>
    </w:tbl>
    <w:p w14:paraId="43AF018B" w14:textId="20EC482D" w:rsidR="007E2E22" w:rsidRDefault="007E2E22" w:rsidP="00A06BCC">
      <w:pPr>
        <w:pStyle w:val="Paragraphtext"/>
        <w:spacing w:before="240"/>
      </w:pPr>
      <w:r w:rsidRPr="00925814">
        <w:t>The commencement of the Office</w:t>
      </w:r>
      <w:r w:rsidR="00573A48">
        <w:t xml:space="preserve"> of the Inspector-General of Aged Care (Office)</w:t>
      </w:r>
      <w:r w:rsidRPr="00925814">
        <w:t xml:space="preserve"> is an historic step. There has never been such a role in aged care or in any other human services policy area in Australia</w:t>
      </w:r>
      <w:r>
        <w:t xml:space="preserve"> and</w:t>
      </w:r>
      <w:r w:rsidR="000C4A01">
        <w:t>,</w:t>
      </w:r>
      <w:r>
        <w:t xml:space="preserve"> as Acting Inspector-General</w:t>
      </w:r>
      <w:r w:rsidR="000C4A01">
        <w:t>,</w:t>
      </w:r>
      <w:r>
        <w:t xml:space="preserve"> </w:t>
      </w:r>
      <w:r w:rsidR="004E2B25">
        <w:t xml:space="preserve">I am honoured to have the opportunity </w:t>
      </w:r>
      <w:r>
        <w:t>to lead the Office at this time.</w:t>
      </w:r>
    </w:p>
    <w:p w14:paraId="5B0D8140" w14:textId="70359DF2" w:rsidR="007E4815" w:rsidRPr="00925814" w:rsidRDefault="00C41526" w:rsidP="00DB333C">
      <w:pPr>
        <w:pStyle w:val="Paragraphtext"/>
      </w:pPr>
      <w:r w:rsidRPr="00925814">
        <w:t xml:space="preserve">This is the Office’s </w:t>
      </w:r>
      <w:r w:rsidR="00C64D9C">
        <w:t>inaugural</w:t>
      </w:r>
      <w:r w:rsidR="00C64D9C" w:rsidRPr="00925814">
        <w:t xml:space="preserve"> </w:t>
      </w:r>
      <w:r w:rsidRPr="00925814">
        <w:t>Corporate Pla</w:t>
      </w:r>
      <w:r w:rsidR="00511942">
        <w:t xml:space="preserve">n. It </w:t>
      </w:r>
      <w:r w:rsidRPr="00925814">
        <w:t xml:space="preserve">marks the start of </w:t>
      </w:r>
      <w:r w:rsidR="0065511F" w:rsidRPr="00925814">
        <w:t>the</w:t>
      </w:r>
      <w:r w:rsidRPr="00925814">
        <w:t xml:space="preserve"> new</w:t>
      </w:r>
      <w:r w:rsidR="00511942">
        <w:t xml:space="preserve"> statutory</w:t>
      </w:r>
      <w:r w:rsidRPr="00925814">
        <w:t xml:space="preserve"> agency</w:t>
      </w:r>
      <w:r w:rsidR="00511942">
        <w:t xml:space="preserve"> and outlines</w:t>
      </w:r>
      <w:r w:rsidR="0065511F" w:rsidRPr="00925814">
        <w:t xml:space="preserve"> </w:t>
      </w:r>
      <w:r w:rsidRPr="00925814">
        <w:t xml:space="preserve">our </w:t>
      </w:r>
      <w:r w:rsidR="007C7D8B">
        <w:t xml:space="preserve">vision and </w:t>
      </w:r>
      <w:r w:rsidRPr="00925814">
        <w:t>strategic direction for the next 4 years</w:t>
      </w:r>
      <w:r w:rsidR="00A474A4" w:rsidRPr="00925814">
        <w:t xml:space="preserve">. </w:t>
      </w:r>
    </w:p>
    <w:p w14:paraId="2DF0CCCD" w14:textId="22304474" w:rsidR="005921FB" w:rsidRDefault="00C679F3" w:rsidP="00DB333C">
      <w:pPr>
        <w:pStyle w:val="Paragraphtext"/>
      </w:pPr>
      <w:r>
        <w:t xml:space="preserve">In this </w:t>
      </w:r>
      <w:r w:rsidR="00EE3158" w:rsidRPr="00925814">
        <w:t xml:space="preserve">early </w:t>
      </w:r>
      <w:r>
        <w:t>phase</w:t>
      </w:r>
      <w:r w:rsidR="00EE3158" w:rsidRPr="00925814">
        <w:t xml:space="preserve"> of our </w:t>
      </w:r>
      <w:r w:rsidR="00BE7432" w:rsidRPr="00925814">
        <w:t>establishment,</w:t>
      </w:r>
      <w:r>
        <w:t xml:space="preserve"> </w:t>
      </w:r>
      <w:r w:rsidR="00BE7432">
        <w:t>our first order of business revolves around</w:t>
      </w:r>
      <w:r w:rsidR="008660AC">
        <w:t xml:space="preserve"> </w:t>
      </w:r>
      <w:r w:rsidR="000C4A01">
        <w:t>completing the</w:t>
      </w:r>
      <w:r w:rsidR="00473BD7">
        <w:t xml:space="preserve"> set</w:t>
      </w:r>
      <w:r w:rsidR="000C4A01">
        <w:t>-</w:t>
      </w:r>
      <w:r w:rsidR="008660AC">
        <w:t xml:space="preserve">up </w:t>
      </w:r>
      <w:r w:rsidR="000C4A01">
        <w:t xml:space="preserve">of </w:t>
      </w:r>
      <w:r w:rsidR="00D63AA8">
        <w:t>the O</w:t>
      </w:r>
      <w:r w:rsidR="008660AC">
        <w:t>ffice</w:t>
      </w:r>
      <w:r w:rsidR="00D9151F">
        <w:t xml:space="preserve"> and </w:t>
      </w:r>
      <w:r w:rsidR="00BE7432">
        <w:t>ensuring</w:t>
      </w:r>
      <w:r w:rsidR="00D9151F">
        <w:t xml:space="preserve"> we have the staff, policies, </w:t>
      </w:r>
      <w:r w:rsidR="00B63622">
        <w:t>procedures,</w:t>
      </w:r>
      <w:r w:rsidR="00D9151F">
        <w:t xml:space="preserve"> and systems </w:t>
      </w:r>
      <w:r w:rsidR="00BE7432">
        <w:t>we need to</w:t>
      </w:r>
      <w:r w:rsidR="00D9151F">
        <w:t xml:space="preserve"> </w:t>
      </w:r>
      <w:r w:rsidR="00355CB1" w:rsidRPr="00925814">
        <w:t xml:space="preserve">successfully </w:t>
      </w:r>
      <w:r w:rsidR="00BE7432">
        <w:t>deliver</w:t>
      </w:r>
      <w:r w:rsidR="00BE13F1">
        <w:t xml:space="preserve"> our work</w:t>
      </w:r>
      <w:r w:rsidR="00B26568" w:rsidRPr="00925814">
        <w:t>.</w:t>
      </w:r>
      <w:r w:rsidR="005B525D">
        <w:t xml:space="preserve"> </w:t>
      </w:r>
      <w:r w:rsidR="007A66CC">
        <w:t>We</w:t>
      </w:r>
      <w:r w:rsidR="00C2606D">
        <w:t xml:space="preserve"> have</w:t>
      </w:r>
      <w:r w:rsidR="005540A1">
        <w:t xml:space="preserve"> already </w:t>
      </w:r>
      <w:r w:rsidR="004F74D7">
        <w:t>achieved</w:t>
      </w:r>
      <w:r w:rsidR="005540A1">
        <w:t xml:space="preserve"> one of our major milestones by delivering the</w:t>
      </w:r>
      <w:r w:rsidR="00DF2320" w:rsidRPr="00925814">
        <w:t xml:space="preserve"> </w:t>
      </w:r>
      <w:r w:rsidR="00F2455E">
        <w:t xml:space="preserve">Office’s </w:t>
      </w:r>
      <w:r w:rsidR="00DF2320" w:rsidRPr="00925814">
        <w:t>first Annual Work Plan</w:t>
      </w:r>
      <w:r w:rsidR="00C2606D">
        <w:t>,</w:t>
      </w:r>
      <w:r w:rsidR="00DF2320" w:rsidRPr="00925814">
        <w:t xml:space="preserve"> which</w:t>
      </w:r>
      <w:r w:rsidR="00B26568" w:rsidRPr="00925814">
        <w:t xml:space="preserve"> </w:t>
      </w:r>
      <w:r w:rsidR="00DF2320" w:rsidRPr="00925814">
        <w:t>outlines</w:t>
      </w:r>
      <w:r w:rsidR="00B26568" w:rsidRPr="00925814">
        <w:t xml:space="preserve"> what </w:t>
      </w:r>
      <w:r w:rsidR="00C2606D">
        <w:t>we</w:t>
      </w:r>
      <w:r w:rsidR="00B26568" w:rsidRPr="00925814">
        <w:t xml:space="preserve"> </w:t>
      </w:r>
      <w:r w:rsidR="006848F1">
        <w:t xml:space="preserve">are </w:t>
      </w:r>
      <w:r w:rsidR="00B26568" w:rsidRPr="00925814">
        <w:t xml:space="preserve">going to focus on in </w:t>
      </w:r>
      <w:r w:rsidR="00A414F9">
        <w:t xml:space="preserve">the </w:t>
      </w:r>
      <w:r w:rsidR="00B26568" w:rsidRPr="00925814">
        <w:t xml:space="preserve">first half of </w:t>
      </w:r>
      <w:r w:rsidR="00EB4EB3" w:rsidRPr="00925814">
        <w:t>2024</w:t>
      </w:r>
      <w:r w:rsidR="00B26568" w:rsidRPr="00925814">
        <w:t xml:space="preserve">. </w:t>
      </w:r>
    </w:p>
    <w:p w14:paraId="62A8E67A" w14:textId="0F7CBC5C" w:rsidR="00C40399" w:rsidRPr="00925814" w:rsidRDefault="00C40399" w:rsidP="002B5101">
      <w:pPr>
        <w:spacing w:line="276" w:lineRule="auto"/>
      </w:pPr>
      <w:r>
        <w:t xml:space="preserve">While this is a 4-year plan, it is focussed on the initial tasks that we need to complete in 2023-24 to become fully operational. We will continue to refine our strategic objectives </w:t>
      </w:r>
      <w:r w:rsidR="00C64D9C">
        <w:t xml:space="preserve">and our performance measures </w:t>
      </w:r>
      <w:r>
        <w:t>over the next plan and beyond, as we move past our establishment phase.</w:t>
      </w:r>
    </w:p>
    <w:p w14:paraId="50D73D16" w14:textId="20C6677A" w:rsidR="007E4815" w:rsidRPr="00925814" w:rsidRDefault="007E4815" w:rsidP="00DB333C">
      <w:pPr>
        <w:pStyle w:val="Paragraphtext"/>
      </w:pPr>
      <w:r w:rsidRPr="00925814">
        <w:t xml:space="preserve">As a new body we have bold ambitions. We are starting with a robust plan, but it is not set in stone. We will be further </w:t>
      </w:r>
      <w:r w:rsidR="00D53329" w:rsidRPr="00925814">
        <w:t>engag</w:t>
      </w:r>
      <w:r w:rsidR="00D53329">
        <w:t>ing</w:t>
      </w:r>
      <w:r w:rsidR="00D53329" w:rsidRPr="00925814">
        <w:t xml:space="preserve"> </w:t>
      </w:r>
      <w:r w:rsidRPr="00925814">
        <w:t xml:space="preserve">with our stakeholders </w:t>
      </w:r>
      <w:r w:rsidR="000E7F5F" w:rsidRPr="00925814">
        <w:t>and</w:t>
      </w:r>
      <w:r w:rsidRPr="00925814">
        <w:t xml:space="preserve"> deepen</w:t>
      </w:r>
      <w:r w:rsidR="00D53329">
        <w:t>ing</w:t>
      </w:r>
      <w:r w:rsidRPr="00925814">
        <w:t xml:space="preserve"> our understanding of </w:t>
      </w:r>
      <w:r w:rsidR="001679C8" w:rsidRPr="00925814">
        <w:t xml:space="preserve">the sector </w:t>
      </w:r>
      <w:r w:rsidR="000E7F5F" w:rsidRPr="00925814">
        <w:t>through rigorous monitoring and analysis</w:t>
      </w:r>
      <w:r w:rsidR="00D21617">
        <w:t>. This will help us</w:t>
      </w:r>
      <w:r w:rsidR="000E7F5F" w:rsidRPr="00925814">
        <w:t xml:space="preserve"> </w:t>
      </w:r>
      <w:r w:rsidR="001679C8" w:rsidRPr="00925814">
        <w:t>to</w:t>
      </w:r>
      <w:r w:rsidR="000E7F5F" w:rsidRPr="00925814">
        <w:t xml:space="preserve"> decide</w:t>
      </w:r>
      <w:r w:rsidRPr="00925814">
        <w:t xml:space="preserve"> </w:t>
      </w:r>
      <w:r w:rsidR="000E7F5F" w:rsidRPr="00925814">
        <w:t xml:space="preserve">where </w:t>
      </w:r>
      <w:r w:rsidR="00AA38C4">
        <w:t>to</w:t>
      </w:r>
      <w:r w:rsidR="000E7F5F" w:rsidRPr="00925814">
        <w:t xml:space="preserve"> focus our efforts, </w:t>
      </w:r>
      <w:r w:rsidRPr="00925814">
        <w:t xml:space="preserve">what we can deliver, and what we </w:t>
      </w:r>
      <w:r w:rsidR="000E7F5F" w:rsidRPr="00925814">
        <w:t>will</w:t>
      </w:r>
      <w:r w:rsidRPr="00925814">
        <w:t xml:space="preserve"> prioritise.</w:t>
      </w:r>
    </w:p>
    <w:p w14:paraId="3BD1DB2D" w14:textId="5911CB8F" w:rsidR="00C41526" w:rsidRPr="009574A0" w:rsidRDefault="00C41526" w:rsidP="00AF5310">
      <w:pPr>
        <w:pStyle w:val="Paragraphtext"/>
        <w:rPr>
          <w:b/>
          <w:bCs/>
          <w:color w:val="512373"/>
          <w:sz w:val="24"/>
          <w:szCs w:val="28"/>
        </w:rPr>
      </w:pPr>
      <w:r w:rsidRPr="009574A0">
        <w:rPr>
          <w:b/>
          <w:bCs/>
          <w:color w:val="512373"/>
          <w:sz w:val="24"/>
          <w:szCs w:val="28"/>
        </w:rPr>
        <w:t>A system with strengths and challenges</w:t>
      </w:r>
    </w:p>
    <w:p w14:paraId="7CD2217D" w14:textId="420861F0" w:rsidR="00C41526" w:rsidRDefault="00C41526" w:rsidP="00DB333C">
      <w:pPr>
        <w:pStyle w:val="Paragraphtext"/>
      </w:pPr>
      <w:r>
        <w:t xml:space="preserve">Australia’s aged care system has both strengths and challenges. The sector </w:t>
      </w:r>
      <w:r w:rsidR="00D53329">
        <w:t>has many strengths</w:t>
      </w:r>
      <w:r>
        <w:t xml:space="preserve">, with a diverse range of providers supporting older </w:t>
      </w:r>
      <w:r w:rsidR="00C634F0">
        <w:t>people in Australia</w:t>
      </w:r>
      <w:r w:rsidR="00D53329">
        <w:t xml:space="preserve"> who need care and support</w:t>
      </w:r>
      <w:r>
        <w:t xml:space="preserve"> to continue to live in their homes or in residential care facilities. </w:t>
      </w:r>
    </w:p>
    <w:p w14:paraId="245BB7F1" w14:textId="07C350AD" w:rsidR="00C41526" w:rsidRPr="00DB333C" w:rsidRDefault="00C41526" w:rsidP="00DB333C">
      <w:pPr>
        <w:pStyle w:val="Paragraphtext"/>
      </w:pPr>
      <w:r>
        <w:t xml:space="preserve">In recent years we have so often heard about the problems in aged care – and there are certainly many significant issues that </w:t>
      </w:r>
      <w:r w:rsidR="00D53329">
        <w:t xml:space="preserve">are being and still </w:t>
      </w:r>
      <w:r>
        <w:t xml:space="preserve">need to be tackled. </w:t>
      </w:r>
      <w:r w:rsidR="00D53329">
        <w:t xml:space="preserve">At the same time there </w:t>
      </w:r>
      <w:r>
        <w:t>are many</w:t>
      </w:r>
      <w:r w:rsidR="00D91E8D">
        <w:t xml:space="preserve"> success stories in the sector and many</w:t>
      </w:r>
      <w:r>
        <w:t xml:space="preserve"> </w:t>
      </w:r>
      <w:r w:rsidR="00D91E8D">
        <w:t xml:space="preserve">aged care </w:t>
      </w:r>
      <w:r>
        <w:t xml:space="preserve">providers who do an exemplary job, providing high quality care under the guidance of </w:t>
      </w:r>
      <w:r w:rsidR="00D53329">
        <w:t xml:space="preserve">strong governance and </w:t>
      </w:r>
      <w:r>
        <w:t xml:space="preserve">excellent management teams. These organisations should be </w:t>
      </w:r>
      <w:r w:rsidR="005D2CDE">
        <w:t>championed,</w:t>
      </w:r>
      <w:r>
        <w:t xml:space="preserve"> and their </w:t>
      </w:r>
      <w:r w:rsidRPr="00DB333C">
        <w:lastRenderedPageBreak/>
        <w:t>approaches held up as best practice models for broader adoption</w:t>
      </w:r>
      <w:r w:rsidR="004B36C2" w:rsidRPr="00DB333C">
        <w:t>. This</w:t>
      </w:r>
      <w:r w:rsidR="00F678B4" w:rsidRPr="00DB333C">
        <w:t xml:space="preserve"> is something the Office will seek to </w:t>
      </w:r>
      <w:r w:rsidR="004B36C2" w:rsidRPr="00DB333C">
        <w:t>do</w:t>
      </w:r>
      <w:r w:rsidRPr="00DB333C">
        <w:t xml:space="preserve">. </w:t>
      </w:r>
    </w:p>
    <w:p w14:paraId="3FD763A8" w14:textId="753A2013" w:rsidR="003724EB" w:rsidRPr="00DB333C" w:rsidRDefault="00656DE0" w:rsidP="00DB333C">
      <w:pPr>
        <w:pStyle w:val="Paragraphtext"/>
      </w:pPr>
      <w:r w:rsidRPr="00DB333C">
        <w:t>However, t</w:t>
      </w:r>
      <w:r w:rsidR="00C41526" w:rsidRPr="00DB333C">
        <w:t>here</w:t>
      </w:r>
      <w:r w:rsidR="00C67375" w:rsidRPr="00DB333C">
        <w:t xml:space="preserve"> continue to be</w:t>
      </w:r>
      <w:r w:rsidR="00C41526" w:rsidRPr="00DB333C">
        <w:t xml:space="preserve"> many deficits in the system. The Royal Commission into Aged Care Quality and Safety (the Royal Commission) found that poor quality aged care is underscored by longstanding systemic issues. </w:t>
      </w:r>
      <w:r w:rsidR="00D53329">
        <w:t>These include p</w:t>
      </w:r>
      <w:r w:rsidR="00D53329" w:rsidRPr="00DB333C">
        <w:t xml:space="preserve">roblems </w:t>
      </w:r>
      <w:r w:rsidR="00C41526" w:rsidRPr="00DB333C">
        <w:t xml:space="preserve">created </w:t>
      </w:r>
      <w:r w:rsidR="00D53329">
        <w:t xml:space="preserve">by </w:t>
      </w:r>
      <w:r w:rsidR="00C41526" w:rsidRPr="00DB333C">
        <w:t>or connected to the ways in which government agencies fund, administer and regulate the aged care system.</w:t>
      </w:r>
    </w:p>
    <w:p w14:paraId="540949C4" w14:textId="0BB6C69F" w:rsidR="00396DC2" w:rsidRPr="009574A0" w:rsidRDefault="00396DC2" w:rsidP="009574A0">
      <w:pPr>
        <w:pStyle w:val="Paragraphtext"/>
        <w:rPr>
          <w:b/>
          <w:bCs/>
          <w:color w:val="512373"/>
          <w:sz w:val="24"/>
          <w:szCs w:val="28"/>
        </w:rPr>
      </w:pPr>
      <w:r w:rsidRPr="009574A0">
        <w:rPr>
          <w:b/>
          <w:bCs/>
          <w:color w:val="512373"/>
          <w:sz w:val="24"/>
          <w:szCs w:val="28"/>
        </w:rPr>
        <w:t>The need for greater oversight</w:t>
      </w:r>
    </w:p>
    <w:p w14:paraId="035FC829" w14:textId="059888EF" w:rsidR="00396DC2" w:rsidRPr="00523E1C" w:rsidRDefault="00396DC2" w:rsidP="00DB333C">
      <w:pPr>
        <w:pStyle w:val="Paragraphtext"/>
        <w:rPr>
          <w:vanish/>
          <w:specVanish/>
        </w:rPr>
      </w:pPr>
      <w:r w:rsidRPr="00523E1C">
        <w:t>In calling for the establishment of the Inspector-General of Aged Care, the Royal Commission recognised the need for greater oversight</w:t>
      </w:r>
      <w:r w:rsidR="00A60CA2" w:rsidRPr="00523E1C">
        <w:t xml:space="preserve"> of the aged care system as a whole and the actions of government agencies in particula</w:t>
      </w:r>
      <w:r w:rsidR="00523E1C" w:rsidRPr="00523E1C">
        <w:t>r –</w:t>
      </w:r>
      <w:r w:rsidR="00523E1C">
        <w:t xml:space="preserve"> </w:t>
      </w:r>
      <w:r w:rsidR="00A60CA2" w:rsidRPr="00523E1C">
        <w:t>in addition to the oversight</w:t>
      </w:r>
      <w:r w:rsidRPr="00523E1C">
        <w:t xml:space="preserve"> of individual aged care providers</w:t>
      </w:r>
      <w:r w:rsidR="00523E1C" w:rsidRPr="00523E1C">
        <w:t>, which</w:t>
      </w:r>
      <w:r w:rsidRPr="00523E1C">
        <w:t xml:space="preserve"> remains the </w:t>
      </w:r>
      <w:r w:rsidR="00674979" w:rsidRPr="00523E1C">
        <w:t>role</w:t>
      </w:r>
      <w:r w:rsidRPr="00523E1C">
        <w:t xml:space="preserve"> of the Aged Care Quality and Safety Commission. </w:t>
      </w:r>
    </w:p>
    <w:p w14:paraId="0C8E8C36" w14:textId="6CF5F8C5" w:rsidR="00396DC2" w:rsidRDefault="00BA2444" w:rsidP="00DB333C">
      <w:pPr>
        <w:pStyle w:val="Paragraphtext"/>
      </w:pPr>
      <w:r w:rsidRPr="00523E1C">
        <w:t xml:space="preserve">We will use our role </w:t>
      </w:r>
      <w:r w:rsidR="00396DC2" w:rsidRPr="00523E1C">
        <w:t xml:space="preserve">to improve </w:t>
      </w:r>
      <w:r w:rsidR="00A60CA2" w:rsidRPr="00523E1C">
        <w:t xml:space="preserve">the </w:t>
      </w:r>
      <w:r w:rsidR="00396DC2" w:rsidRPr="00523E1C">
        <w:t>transparency and accountability</w:t>
      </w:r>
      <w:r w:rsidRPr="00523E1C">
        <w:t xml:space="preserve"> </w:t>
      </w:r>
      <w:r w:rsidR="00A60CA2" w:rsidRPr="00523E1C">
        <w:t>of</w:t>
      </w:r>
      <w:r w:rsidR="00A60CA2">
        <w:t xml:space="preserve"> </w:t>
      </w:r>
      <w:r>
        <w:t xml:space="preserve">the </w:t>
      </w:r>
      <w:r w:rsidR="00A60CA2">
        <w:t xml:space="preserve">system and the </w:t>
      </w:r>
      <w:r w:rsidR="003A4444">
        <w:t>sector,</w:t>
      </w:r>
      <w:r w:rsidR="00CC0789">
        <w:t xml:space="preserve"> and</w:t>
      </w:r>
      <w:r w:rsidR="00396DC2">
        <w:t xml:space="preserve"> </w:t>
      </w:r>
      <w:r w:rsidR="00CC0789">
        <w:t xml:space="preserve">we will </w:t>
      </w:r>
      <w:r w:rsidR="00396DC2">
        <w:t xml:space="preserve">address </w:t>
      </w:r>
      <w:r w:rsidR="006078A9">
        <w:t>the areas that need critical improvement</w:t>
      </w:r>
      <w:r w:rsidR="00A20092">
        <w:t xml:space="preserve"> to</w:t>
      </w:r>
      <w:r w:rsidR="00396DC2">
        <w:t xml:space="preserve"> deliver </w:t>
      </w:r>
      <w:r w:rsidR="00A20092">
        <w:t>better</w:t>
      </w:r>
      <w:r w:rsidR="00396DC2">
        <w:t xml:space="preserve"> </w:t>
      </w:r>
      <w:r w:rsidR="00A60CA2">
        <w:t xml:space="preserve">administration </w:t>
      </w:r>
      <w:r w:rsidR="00396DC2">
        <w:t xml:space="preserve">and </w:t>
      </w:r>
      <w:r w:rsidR="00A60CA2">
        <w:t>regulation</w:t>
      </w:r>
      <w:r w:rsidR="00A60CA2" w:rsidDel="00A60CA2">
        <w:t xml:space="preserve"> </w:t>
      </w:r>
      <w:r w:rsidR="00396DC2">
        <w:t>of aged care.</w:t>
      </w:r>
    </w:p>
    <w:p w14:paraId="1C9E648D" w14:textId="20F6E05D" w:rsidR="00F43A62" w:rsidRDefault="00396DC2" w:rsidP="00DB333C">
      <w:pPr>
        <w:pStyle w:val="Paragraphtext"/>
      </w:pPr>
      <w:r>
        <w:t xml:space="preserve">We will do this by examining </w:t>
      </w:r>
      <w:r w:rsidR="00D70D22">
        <w:t>areas of</w:t>
      </w:r>
      <w:r>
        <w:t xml:space="preserve"> weakness in</w:t>
      </w:r>
      <w:r w:rsidR="00BA2444">
        <w:t xml:space="preserve"> </w:t>
      </w:r>
      <w:r>
        <w:t>depth, identifying the root cause</w:t>
      </w:r>
      <w:r w:rsidR="00A60CA2">
        <w:t>s</w:t>
      </w:r>
      <w:r>
        <w:t xml:space="preserve"> of </w:t>
      </w:r>
      <w:r w:rsidR="0026411E">
        <w:t>problems,</w:t>
      </w:r>
      <w:r>
        <w:t xml:space="preserve"> and making recommendations for change. We will report publicly and to the parliament and</w:t>
      </w:r>
      <w:r w:rsidR="002276BD">
        <w:t xml:space="preserve"> </w:t>
      </w:r>
      <w:r>
        <w:t xml:space="preserve">we will </w:t>
      </w:r>
      <w:r w:rsidR="00BA2444">
        <w:t xml:space="preserve">make </w:t>
      </w:r>
      <w:r w:rsidR="00A60CA2">
        <w:t xml:space="preserve">recommendations </w:t>
      </w:r>
      <w:r>
        <w:t xml:space="preserve">for meaningful change. We will monitor developments </w:t>
      </w:r>
      <w:r w:rsidR="00A60CA2">
        <w:t>in</w:t>
      </w:r>
      <w:r w:rsidR="00416D96">
        <w:t>,</w:t>
      </w:r>
      <w:r w:rsidR="00A60CA2">
        <w:t xml:space="preserve"> </w:t>
      </w:r>
      <w:r>
        <w:t>and look to improve</w:t>
      </w:r>
      <w:r w:rsidR="00416D96">
        <w:t>,</w:t>
      </w:r>
      <w:r>
        <w:t xml:space="preserve"> the </w:t>
      </w:r>
      <w:r w:rsidRPr="004D1674">
        <w:t xml:space="preserve">existing complaints management framework. </w:t>
      </w:r>
    </w:p>
    <w:p w14:paraId="20326DAA" w14:textId="5D412829" w:rsidR="00B5165E" w:rsidRDefault="00244FAB" w:rsidP="00723097">
      <w:pPr>
        <w:pStyle w:val="Paragraphtext"/>
        <w:spacing w:after="480"/>
      </w:pPr>
      <w:r>
        <w:t xml:space="preserve">I look </w:t>
      </w:r>
      <w:r w:rsidR="00396DC2">
        <w:t>forward to working closely with our stakeholders and my outstanding team to further improve the delivery of aged care</w:t>
      </w:r>
      <w:r w:rsidR="00284CAA">
        <w:t xml:space="preserve"> in Australia</w:t>
      </w:r>
      <w:r w:rsidR="00A60CA2">
        <w:t xml:space="preserve"> to </w:t>
      </w:r>
      <w:r w:rsidR="00CC0789">
        <w:t>achieve better</w:t>
      </w:r>
      <w:r w:rsidR="00A60CA2">
        <w:t xml:space="preserve"> outcomes for older people who need support and care</w:t>
      </w:r>
      <w:r w:rsidR="00396DC2">
        <w:t>.</w:t>
      </w:r>
    </w:p>
    <w:p w14:paraId="7BE2ED3A" w14:textId="208AD584" w:rsidR="00B5165E" w:rsidRPr="003512E9" w:rsidRDefault="00B5165E" w:rsidP="00396DC2">
      <w:pPr>
        <w:rPr>
          <w:b/>
          <w:bCs/>
        </w:rPr>
      </w:pPr>
      <w:r w:rsidRPr="003512E9">
        <w:rPr>
          <w:b/>
          <w:bCs/>
        </w:rPr>
        <w:t>Ian Yates</w:t>
      </w:r>
      <w:r w:rsidR="00EB1DAA">
        <w:rPr>
          <w:b/>
          <w:bCs/>
        </w:rPr>
        <w:t xml:space="preserve"> AM</w:t>
      </w:r>
    </w:p>
    <w:p w14:paraId="36700B3F" w14:textId="2EA6E9A8" w:rsidR="00B5165E" w:rsidRDefault="00B5165E" w:rsidP="00396DC2">
      <w:r>
        <w:t>Acting Inspector-General of Aged Care</w:t>
      </w:r>
    </w:p>
    <w:p w14:paraId="4B7F0384" w14:textId="18D6761E" w:rsidR="00B5165E" w:rsidRDefault="00466626" w:rsidP="00396DC2">
      <w:r>
        <w:t>15 December 2023</w:t>
      </w:r>
    </w:p>
    <w:p w14:paraId="7183BF1C" w14:textId="6FAE8F0D" w:rsidR="00323B88" w:rsidRDefault="00323B88" w:rsidP="00323B88">
      <w:r>
        <w:br w:type="page"/>
      </w:r>
    </w:p>
    <w:p w14:paraId="15F755FC" w14:textId="77777777" w:rsidR="00947F05" w:rsidRDefault="00947F05" w:rsidP="004200D9">
      <w:pPr>
        <w:sectPr w:rsidR="00947F05" w:rsidSect="008725BD"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CAA582C" w14:textId="1F30A43A" w:rsidR="00947F05" w:rsidRDefault="00DC2D72" w:rsidP="005D2CDE">
      <w:pPr>
        <w:pStyle w:val="Heading1"/>
      </w:pPr>
      <w:bookmarkStart w:id="2" w:name="_Toc152857315"/>
      <w:r>
        <w:lastRenderedPageBreak/>
        <w:t>Purpose</w:t>
      </w:r>
      <w:bookmarkEnd w:id="2"/>
    </w:p>
    <w:p w14:paraId="0CB4D695" w14:textId="0CCA04AF" w:rsidR="00A4711F" w:rsidRDefault="00AC2D31" w:rsidP="00DB333C">
      <w:pPr>
        <w:pStyle w:val="Paragraphtext"/>
      </w:pPr>
      <w:r>
        <w:t>Our purpose</w:t>
      </w:r>
      <w:r w:rsidR="009D0DB3">
        <w:t xml:space="preserve"> </w:t>
      </w:r>
      <w:r w:rsidR="00CF7652">
        <w:t>is</w:t>
      </w:r>
      <w:r w:rsidR="00C4223C">
        <w:t xml:space="preserve"> to p</w:t>
      </w:r>
      <w:r w:rsidRPr="00AC2D31">
        <w:t>rovide independent oversight of the aged care system</w:t>
      </w:r>
      <w:r w:rsidR="009D0DB3">
        <w:t xml:space="preserve"> and</w:t>
      </w:r>
      <w:r w:rsidRPr="00AC2D31">
        <w:t xml:space="preserve"> to drive accountability and positive change through reviews, recommendations, and reporting to </w:t>
      </w:r>
      <w:r w:rsidR="00C4223C">
        <w:t>p</w:t>
      </w:r>
      <w:r w:rsidRPr="00AC2D31">
        <w:t>arliament.</w:t>
      </w:r>
      <w:r w:rsidR="00D8241B">
        <w:t xml:space="preserve"> </w:t>
      </w:r>
    </w:p>
    <w:p w14:paraId="66DE9740" w14:textId="02BB069A" w:rsidR="00D91CED" w:rsidRDefault="00E83976" w:rsidP="00DB333C">
      <w:pPr>
        <w:pStyle w:val="Paragraphtext"/>
      </w:pPr>
      <w:r>
        <w:rPr>
          <w:noProof/>
        </w:rPr>
        <w:drawing>
          <wp:anchor distT="71755" distB="71755" distL="114300" distR="114300" simplePos="0" relativeHeight="251688448" behindDoc="0" locked="0" layoutInCell="1" allowOverlap="1" wp14:anchorId="4A40BB69" wp14:editId="31CD52B8">
            <wp:simplePos x="0" y="0"/>
            <wp:positionH relativeFrom="column">
              <wp:posOffset>14869</wp:posOffset>
            </wp:positionH>
            <wp:positionV relativeFrom="paragraph">
              <wp:posOffset>481330</wp:posOffset>
            </wp:positionV>
            <wp:extent cx="5518800" cy="3063600"/>
            <wp:effectExtent l="19050" t="19050" r="24765" b="22860"/>
            <wp:wrapTopAndBottom/>
            <wp:docPr id="223" name="Picture 223" descr="Infographic of the Inspector-General of Aged Care of what they overs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 descr="Infographic of the Inspector-General of Aged Care of what they overse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800" cy="30636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38D">
        <w:t>To do this, we</w:t>
      </w:r>
      <w:r w:rsidR="00FC238D" w:rsidRPr="00FC238D">
        <w:t xml:space="preserve"> monitor, review, and report on the aged care system, call out significant and systemic issues, and </w:t>
      </w:r>
      <w:r w:rsidR="00C64D9C">
        <w:t>make recommendations</w:t>
      </w:r>
      <w:r w:rsidR="00FC238D" w:rsidRPr="00FC238D">
        <w:t>.</w:t>
      </w:r>
    </w:p>
    <w:p w14:paraId="1AA8C46E" w14:textId="0C476852" w:rsidR="001100DD" w:rsidRDefault="001100DD" w:rsidP="00E83976">
      <w:pPr>
        <w:pStyle w:val="Heading2"/>
      </w:pPr>
      <w:bookmarkStart w:id="3" w:name="_Toc152857316"/>
      <w:r>
        <w:t>Vision</w:t>
      </w:r>
      <w:bookmarkEnd w:id="3"/>
    </w:p>
    <w:p w14:paraId="2C270DEF" w14:textId="5AF3FD5A" w:rsidR="001100DD" w:rsidRDefault="00E622E9" w:rsidP="00DB333C">
      <w:pPr>
        <w:pStyle w:val="Paragraphtext"/>
      </w:pPr>
      <w:r w:rsidRPr="00E622E9">
        <w:t xml:space="preserve">Our vision is to be a trusted authority that ensures integrity and accountability in the aged care system by providing informed and independent oversight. We will be a catalyst for change by calling out problems and identifying areas for improvement to </w:t>
      </w:r>
      <w:r w:rsidR="0018767A">
        <w:t xml:space="preserve">help </w:t>
      </w:r>
      <w:r w:rsidRPr="00E622E9">
        <w:t>ensure that older people can access the care they need.</w:t>
      </w:r>
    </w:p>
    <w:p w14:paraId="01DA729A" w14:textId="690CA768" w:rsidR="00A60632" w:rsidRDefault="00A60632" w:rsidP="00A60632">
      <w:pPr>
        <w:pStyle w:val="Heading2"/>
      </w:pPr>
      <w:bookmarkStart w:id="4" w:name="_Toc152857317"/>
      <w:r>
        <w:t>Who we are</w:t>
      </w:r>
      <w:bookmarkEnd w:id="4"/>
    </w:p>
    <w:p w14:paraId="4D2823C8" w14:textId="3D705416" w:rsidR="005E25E5" w:rsidRDefault="009B5578" w:rsidP="00DB333C">
      <w:pPr>
        <w:pStyle w:val="Paragraphtext"/>
      </w:pPr>
      <w:r>
        <w:t>T</w:t>
      </w:r>
      <w:r w:rsidRPr="009B5578">
        <w:t xml:space="preserve">he </w:t>
      </w:r>
      <w:r w:rsidR="00BC0253">
        <w:t xml:space="preserve">Government established the </w:t>
      </w:r>
      <w:r w:rsidR="003F3A4A">
        <w:t xml:space="preserve">Inspector-General of Aged Care (Inspector-General) and the supporting </w:t>
      </w:r>
      <w:r w:rsidRPr="009B5578">
        <w:t xml:space="preserve">Office of the Inspector-General of Aged Care </w:t>
      </w:r>
      <w:r w:rsidR="006A61D8">
        <w:t>on</w:t>
      </w:r>
      <w:r w:rsidR="00A60632">
        <w:t xml:space="preserve"> </w:t>
      </w:r>
      <w:r w:rsidR="00A965C2">
        <w:t>16 October</w:t>
      </w:r>
      <w:r w:rsidR="00A60632">
        <w:t xml:space="preserve"> 2023 </w:t>
      </w:r>
      <w:r w:rsidR="00F41C8B">
        <w:t>through</w:t>
      </w:r>
      <w:r w:rsidR="00A60632">
        <w:t xml:space="preserve"> the </w:t>
      </w:r>
      <w:r w:rsidR="009D0DB3" w:rsidRPr="00C4223C">
        <w:rPr>
          <w:i/>
          <w:iCs/>
        </w:rPr>
        <w:t>Inspector-General of Aged Care Act 2023</w:t>
      </w:r>
      <w:r w:rsidR="009D0DB3">
        <w:t xml:space="preserve"> (IGAC Act)</w:t>
      </w:r>
      <w:r w:rsidR="00A60632">
        <w:t xml:space="preserve">. </w:t>
      </w:r>
      <w:r w:rsidR="005E25E5">
        <w:t xml:space="preserve">The IGAC Act </w:t>
      </w:r>
      <w:r w:rsidR="001C4D98">
        <w:t>sets out</w:t>
      </w:r>
      <w:r w:rsidR="00CF53D1">
        <w:t xml:space="preserve"> </w:t>
      </w:r>
      <w:r w:rsidR="001C4D98">
        <w:t xml:space="preserve">the </w:t>
      </w:r>
      <w:r w:rsidR="00CF53D1">
        <w:t xml:space="preserve">functions and </w:t>
      </w:r>
      <w:r w:rsidR="001C4D98">
        <w:t>powers of the Inspector-General and supporting Office.</w:t>
      </w:r>
    </w:p>
    <w:p w14:paraId="1431D8A9" w14:textId="62E2100A" w:rsidR="00612854" w:rsidRDefault="00191979" w:rsidP="006F095D">
      <w:pPr>
        <w:pStyle w:val="Paragraphtext"/>
        <w:spacing w:before="240"/>
      </w:pPr>
      <w:r>
        <w:t xml:space="preserve">The Minister for Aged Care appointed </w:t>
      </w:r>
      <w:r w:rsidR="00EB6CD0">
        <w:t xml:space="preserve">an </w:t>
      </w:r>
      <w:r w:rsidR="00A60CA2">
        <w:t xml:space="preserve">Acting </w:t>
      </w:r>
      <w:r>
        <w:t>Inspector-General</w:t>
      </w:r>
      <w:r w:rsidR="00850284">
        <w:t xml:space="preserve"> on 16</w:t>
      </w:r>
      <w:r w:rsidR="00046CA1">
        <w:t> </w:t>
      </w:r>
      <w:r w:rsidR="00850284">
        <w:t>October</w:t>
      </w:r>
      <w:r w:rsidR="00046CA1">
        <w:t> </w:t>
      </w:r>
      <w:r w:rsidR="00850284">
        <w:t xml:space="preserve">2023, to perform the role </w:t>
      </w:r>
      <w:r w:rsidR="00762B29">
        <w:t xml:space="preserve">while a formal </w:t>
      </w:r>
      <w:r w:rsidR="00D10066">
        <w:t>recruitment</w:t>
      </w:r>
      <w:r w:rsidR="00046CA1">
        <w:t xml:space="preserve"> </w:t>
      </w:r>
      <w:r w:rsidR="00C536E8">
        <w:t>process t</w:t>
      </w:r>
      <w:r w:rsidR="00762B29">
        <w:t xml:space="preserve">o appoint </w:t>
      </w:r>
      <w:r w:rsidR="00EB6CD0">
        <w:t>an</w:t>
      </w:r>
      <w:r w:rsidR="00762B29">
        <w:t xml:space="preserve"> Inspector-General</w:t>
      </w:r>
      <w:r w:rsidR="001A3801">
        <w:t xml:space="preserve"> is conducted in line with the Cabinet Handbook</w:t>
      </w:r>
      <w:r w:rsidR="00C34CB7">
        <w:t>.</w:t>
      </w:r>
      <w:r w:rsidR="00B150D9">
        <w:t xml:space="preserve"> The appointment of an Inspector-General will be a </w:t>
      </w:r>
      <w:r w:rsidR="00EF357E">
        <w:t>decision</w:t>
      </w:r>
      <w:r w:rsidR="00B150D9">
        <w:t xml:space="preserve"> of government</w:t>
      </w:r>
      <w:r w:rsidR="00C634F0">
        <w:t>.</w:t>
      </w:r>
    </w:p>
    <w:p w14:paraId="3979EACF" w14:textId="2179A7AB" w:rsidR="00FB1203" w:rsidRDefault="00C34CB7" w:rsidP="00DB333C">
      <w:pPr>
        <w:pStyle w:val="Paragraphtext"/>
      </w:pPr>
      <w:r>
        <w:t xml:space="preserve">Before our establishment as a statutory agency, </w:t>
      </w:r>
      <w:r w:rsidR="009B2E57">
        <w:t>we operated as</w:t>
      </w:r>
      <w:r w:rsidR="00A60632">
        <w:t xml:space="preserve"> a</w:t>
      </w:r>
      <w:r w:rsidR="009B2E57">
        <w:t>n interim office with</w:t>
      </w:r>
      <w:r w:rsidR="00A60632">
        <w:t xml:space="preserve">in the Department of Health an Aged Care. </w:t>
      </w:r>
      <w:r w:rsidR="00FB1203">
        <w:t>Mr</w:t>
      </w:r>
      <w:r w:rsidR="00197928">
        <w:t xml:space="preserve"> Ian Yates</w:t>
      </w:r>
      <w:r w:rsidR="00A60CA2">
        <w:t xml:space="preserve"> AM</w:t>
      </w:r>
      <w:r w:rsidR="00197928">
        <w:t xml:space="preserve"> </w:t>
      </w:r>
      <w:r w:rsidR="00FB1203">
        <w:t>was</w:t>
      </w:r>
      <w:r w:rsidR="007579BC">
        <w:t xml:space="preserve"> </w:t>
      </w:r>
      <w:r w:rsidR="00197928">
        <w:t>Interim</w:t>
      </w:r>
      <w:r w:rsidR="00A60632">
        <w:t xml:space="preserve"> Inspector-General of Aged Care </w:t>
      </w:r>
      <w:r w:rsidR="00FB1203">
        <w:t>from</w:t>
      </w:r>
      <w:r w:rsidR="00A60632">
        <w:t xml:space="preserve"> 31 January 2023</w:t>
      </w:r>
      <w:r w:rsidR="00FB1203">
        <w:t xml:space="preserve"> until commencement of the statutory agency.</w:t>
      </w:r>
    </w:p>
    <w:p w14:paraId="78BB76ED" w14:textId="3D3F4A32" w:rsidR="00190CB9" w:rsidRDefault="00190CB9" w:rsidP="00EF357E">
      <w:pPr>
        <w:pStyle w:val="Heading2"/>
      </w:pPr>
      <w:bookmarkStart w:id="5" w:name="_Toc152857318"/>
      <w:r>
        <w:lastRenderedPageBreak/>
        <w:t>Why we were established</w:t>
      </w:r>
      <w:bookmarkEnd w:id="5"/>
    </w:p>
    <w:p w14:paraId="28EC2C25" w14:textId="08A00649" w:rsidR="00AD48AE" w:rsidRDefault="001845F9" w:rsidP="00DB333C">
      <w:pPr>
        <w:pStyle w:val="Paragraphtext"/>
      </w:pPr>
      <w:r>
        <w:t>The Royal Commission recommended that the Australian Government establish an Inspector-General and supporting Office</w:t>
      </w:r>
      <w:r w:rsidR="003B101F">
        <w:t xml:space="preserve"> to </w:t>
      </w:r>
      <w:r w:rsidR="003B101F" w:rsidRPr="003C044E">
        <w:t xml:space="preserve">ensure </w:t>
      </w:r>
      <w:r w:rsidR="006D731B">
        <w:t>the aged care system</w:t>
      </w:r>
      <w:r w:rsidR="003B101F" w:rsidRPr="003C044E">
        <w:t xml:space="preserve"> is operating effectively, to call out issues and recommend solutions</w:t>
      </w:r>
      <w:r w:rsidR="006D731B">
        <w:t>,</w:t>
      </w:r>
      <w:r w:rsidR="003B101F" w:rsidRPr="003C044E">
        <w:t xml:space="preserve"> and to report to </w:t>
      </w:r>
      <w:r w:rsidR="00E20F29">
        <w:t>p</w:t>
      </w:r>
      <w:r w:rsidR="00E20F29" w:rsidRPr="003C044E">
        <w:t xml:space="preserve">arliament </w:t>
      </w:r>
      <w:r w:rsidR="003B101F" w:rsidRPr="003C044E">
        <w:t>and publicly.</w:t>
      </w:r>
      <w:r w:rsidR="00F14E96">
        <w:t xml:space="preserve"> </w:t>
      </w:r>
      <w:r w:rsidR="002503AF">
        <w:t>Establishment of an Inspector-General</w:t>
      </w:r>
      <w:r w:rsidR="00B96D53">
        <w:t xml:space="preserve"> was one of the 148 recommendations for reform </w:t>
      </w:r>
      <w:r w:rsidR="00391641">
        <w:t>c</w:t>
      </w:r>
      <w:r w:rsidR="005F5E8F">
        <w:t>ontained</w:t>
      </w:r>
      <w:r w:rsidR="00B96D53">
        <w:t xml:space="preserve"> in the Royal Commission’s Final Report</w:t>
      </w:r>
      <w:r w:rsidR="008C31B1" w:rsidRPr="008C31B1">
        <w:rPr>
          <w:rStyle w:val="FootnoteReference"/>
        </w:rPr>
        <w:t xml:space="preserve"> </w:t>
      </w:r>
      <w:r w:rsidR="008C31B1">
        <w:rPr>
          <w:rStyle w:val="FootnoteReference"/>
        </w:rPr>
        <w:footnoteReference w:id="1"/>
      </w:r>
      <w:r w:rsidR="00B96D53">
        <w:t>.</w:t>
      </w:r>
      <w:r w:rsidR="002503AF">
        <w:t xml:space="preserve"> </w:t>
      </w:r>
    </w:p>
    <w:p w14:paraId="052D54ED" w14:textId="7CF1A05A" w:rsidR="00636098" w:rsidRDefault="00746B02" w:rsidP="00DB333C">
      <w:pPr>
        <w:pStyle w:val="Paragraphtext"/>
      </w:pPr>
      <w:r>
        <w:t>The</w:t>
      </w:r>
      <w:r w:rsidR="00972A41">
        <w:t xml:space="preserve"> </w:t>
      </w:r>
      <w:r w:rsidR="0016128D">
        <w:t>Inspector-General</w:t>
      </w:r>
      <w:r>
        <w:t xml:space="preserve"> </w:t>
      </w:r>
      <w:r w:rsidR="00C64D9C">
        <w:t xml:space="preserve">in particular </w:t>
      </w:r>
      <w:r>
        <w:t>has a</w:t>
      </w:r>
      <w:r w:rsidR="00972A41">
        <w:t xml:space="preserve"> role</w:t>
      </w:r>
      <w:r>
        <w:t xml:space="preserve"> in </w:t>
      </w:r>
      <w:r w:rsidR="00DF74FB">
        <w:t>report</w:t>
      </w:r>
      <w:r>
        <w:t>ing</w:t>
      </w:r>
      <w:r w:rsidR="00DF74FB">
        <w:t xml:space="preserve"> </w:t>
      </w:r>
      <w:r w:rsidR="00A60CA2">
        <w:t xml:space="preserve">regularly </w:t>
      </w:r>
      <w:r w:rsidR="00DF74FB">
        <w:t>to parliament</w:t>
      </w:r>
      <w:r w:rsidR="00F366F2">
        <w:t xml:space="preserve"> on the Common</w:t>
      </w:r>
      <w:r w:rsidR="00C0643D">
        <w:t xml:space="preserve">wealth’s </w:t>
      </w:r>
      <w:r w:rsidR="00DA2CF8">
        <w:t>implementation of Royal Commission recommendations</w:t>
      </w:r>
      <w:r w:rsidR="008C1157">
        <w:t>, with timing set out in the IGAC Act.</w:t>
      </w:r>
    </w:p>
    <w:p w14:paraId="77508003" w14:textId="1CF9C540" w:rsidR="00DF15CF" w:rsidRPr="00CD6AAE" w:rsidRDefault="00CD6AAE" w:rsidP="00CD6AAE">
      <w:pPr>
        <w:pStyle w:val="Heading2"/>
      </w:pPr>
      <w:bookmarkStart w:id="6" w:name="_Toc152857319"/>
      <w:r>
        <w:t>Our</w:t>
      </w:r>
      <w:r w:rsidR="00DF15CF" w:rsidRPr="00CD6AAE">
        <w:t xml:space="preserve"> values</w:t>
      </w:r>
      <w:bookmarkEnd w:id="6"/>
    </w:p>
    <w:p w14:paraId="5F005AED" w14:textId="77777777" w:rsidR="00B07322" w:rsidRDefault="00442E06" w:rsidP="00DB333C">
      <w:pPr>
        <w:pStyle w:val="Paragraphtext"/>
      </w:pPr>
      <w:r>
        <w:t>The Office</w:t>
      </w:r>
      <w:r w:rsidR="00E260A6">
        <w:t xml:space="preserve"> </w:t>
      </w:r>
      <w:r>
        <w:t>upholds</w:t>
      </w:r>
      <w:r w:rsidR="00774D5A">
        <w:t xml:space="preserve"> the </w:t>
      </w:r>
      <w:r w:rsidR="00DF15CF" w:rsidRPr="00CD6AAE">
        <w:t xml:space="preserve">Australian Public Service (APS) </w:t>
      </w:r>
      <w:r w:rsidR="00003E84">
        <w:t xml:space="preserve">Values and Code of Conduct, as outlined in the </w:t>
      </w:r>
      <w:r w:rsidR="00BA69CC" w:rsidRPr="007B1718">
        <w:rPr>
          <w:i/>
          <w:iCs/>
        </w:rPr>
        <w:t>Public Service Act 1999</w:t>
      </w:r>
      <w:r w:rsidR="00DF15CF" w:rsidRPr="00CD6AAE">
        <w:t xml:space="preserve">. </w:t>
      </w:r>
    </w:p>
    <w:p w14:paraId="49EC9C5B" w14:textId="2D181E23" w:rsidR="00AE62C8" w:rsidRPr="002547F9" w:rsidRDefault="00492222" w:rsidP="00DB333C">
      <w:pPr>
        <w:pStyle w:val="Paragraphtext"/>
      </w:pPr>
      <w:r>
        <w:t xml:space="preserve">We have been entrusted by the government and community to </w:t>
      </w:r>
      <w:r w:rsidR="00A2420B">
        <w:t>provide independent oversight of the aged care system</w:t>
      </w:r>
      <w:r w:rsidR="007A12B1">
        <w:t xml:space="preserve"> and with this comes a high level of responsibility. W</w:t>
      </w:r>
      <w:r w:rsidR="00F6491B">
        <w:t>e are</w:t>
      </w:r>
      <w:r w:rsidR="00AE62C8" w:rsidRPr="002547F9">
        <w:t xml:space="preserve"> committed to embedding accountability and integrity into our own activities</w:t>
      </w:r>
      <w:r w:rsidR="00B07322">
        <w:t xml:space="preserve">, </w:t>
      </w:r>
      <w:r w:rsidR="00513CBA">
        <w:t>e</w:t>
      </w:r>
      <w:r w:rsidR="00AE62C8" w:rsidRPr="002547F9">
        <w:t>nsuring our processes are transparent and free from bias</w:t>
      </w:r>
      <w:r w:rsidR="00B07322">
        <w:t>, and</w:t>
      </w:r>
      <w:r w:rsidR="007A12B1">
        <w:t xml:space="preserve"> </w:t>
      </w:r>
      <w:r w:rsidR="00972A41">
        <w:t>always behaving ethically and professionally</w:t>
      </w:r>
      <w:r w:rsidR="007A12B1">
        <w:t>.</w:t>
      </w:r>
    </w:p>
    <w:p w14:paraId="471C8C3C" w14:textId="7CEC9C92" w:rsidR="00B1019E" w:rsidRDefault="00D174AF" w:rsidP="00D174AF">
      <w:pPr>
        <w:pStyle w:val="Heading1"/>
      </w:pPr>
      <w:bookmarkStart w:id="7" w:name="_Toc152857320"/>
      <w:r>
        <w:t>Key activities</w:t>
      </w:r>
      <w:bookmarkEnd w:id="7"/>
    </w:p>
    <w:p w14:paraId="1878EA15" w14:textId="4F47DD9D" w:rsidR="00A72F43" w:rsidRDefault="001B1A67" w:rsidP="005A72F0">
      <w:pPr>
        <w:pStyle w:val="Heading2"/>
      </w:pPr>
      <w:bookmarkStart w:id="8" w:name="_Toc152857321"/>
      <w:r>
        <w:t>What we do</w:t>
      </w:r>
      <w:bookmarkEnd w:id="8"/>
    </w:p>
    <w:p w14:paraId="39774E13" w14:textId="1931706E" w:rsidR="00C9106F" w:rsidRDefault="00E83976" w:rsidP="00E83976">
      <w:pPr>
        <w:pStyle w:val="Paragraphtext"/>
      </w:pPr>
      <w:r>
        <w:rPr>
          <w:noProof/>
        </w:rPr>
        <w:drawing>
          <wp:anchor distT="71755" distB="71755" distL="114300" distR="114300" simplePos="0" relativeHeight="251687424" behindDoc="0" locked="0" layoutInCell="1" allowOverlap="1" wp14:anchorId="4705DFF3" wp14:editId="2CEB3E07">
            <wp:simplePos x="0" y="0"/>
            <wp:positionH relativeFrom="column">
              <wp:align>left</wp:align>
            </wp:positionH>
            <wp:positionV relativeFrom="paragraph">
              <wp:posOffset>658782</wp:posOffset>
            </wp:positionV>
            <wp:extent cx="5731200" cy="918000"/>
            <wp:effectExtent l="0" t="0" r="3175" b="0"/>
            <wp:wrapTopAndBottom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1CD" w:rsidRPr="00DE41CD">
        <w:t xml:space="preserve">We help to improve the aged care system through in-depth investigations and independent </w:t>
      </w:r>
      <w:r w:rsidR="00C64D9C">
        <w:t>recommendations</w:t>
      </w:r>
      <w:r w:rsidR="00C64D9C" w:rsidRPr="00DE41CD">
        <w:t xml:space="preserve"> </w:t>
      </w:r>
      <w:r w:rsidR="00DE41CD" w:rsidRPr="00DE41CD">
        <w:t>to the Australian Government and parliament.</w:t>
      </w:r>
      <w:r w:rsidR="00400737" w:rsidRPr="00400737">
        <w:t xml:space="preserve"> </w:t>
      </w:r>
      <w:r w:rsidR="00400737">
        <w:t xml:space="preserve">We also </w:t>
      </w:r>
      <w:r w:rsidR="00B40DB5">
        <w:t xml:space="preserve">monitor the way that </w:t>
      </w:r>
      <w:r w:rsidR="006361CD">
        <w:t xml:space="preserve">complaints are </w:t>
      </w:r>
      <w:r w:rsidR="007A10F9">
        <w:t>managed</w:t>
      </w:r>
      <w:r w:rsidR="006361CD">
        <w:t xml:space="preserve"> by the </w:t>
      </w:r>
      <w:r w:rsidR="00EA60BF">
        <w:t xml:space="preserve">various government </w:t>
      </w:r>
      <w:r w:rsidR="00E46945">
        <w:t>bodies</w:t>
      </w:r>
      <w:r w:rsidR="00EA60BF">
        <w:t xml:space="preserve"> responsible for them</w:t>
      </w:r>
      <w:r w:rsidR="00400737">
        <w:t>.</w:t>
      </w:r>
    </w:p>
    <w:p w14:paraId="420435A2" w14:textId="1C3F0A35" w:rsidR="00C129B1" w:rsidRDefault="00C129B1" w:rsidP="00B81944">
      <w:pPr>
        <w:pStyle w:val="Heading3"/>
      </w:pPr>
      <w:bookmarkStart w:id="9" w:name="_Toc152857322"/>
      <w:r>
        <w:t>Monitoring</w:t>
      </w:r>
      <w:bookmarkEnd w:id="9"/>
    </w:p>
    <w:p w14:paraId="1CDF40E7" w14:textId="108078B5" w:rsidR="00483018" w:rsidRDefault="00644C1D" w:rsidP="00DB333C">
      <w:pPr>
        <w:pStyle w:val="Paragraphtext"/>
      </w:pPr>
      <w:r>
        <w:t>Monitoring</w:t>
      </w:r>
      <w:r w:rsidR="00C97DB4">
        <w:t xml:space="preserve"> is the foundation of everything we do. </w:t>
      </w:r>
      <w:r w:rsidR="00086CC2">
        <w:t>Effective monitoring tell</w:t>
      </w:r>
      <w:r w:rsidR="00FF471F">
        <w:t>s</w:t>
      </w:r>
      <w:r w:rsidR="00086CC2">
        <w:t xml:space="preserve"> us </w:t>
      </w:r>
      <w:r w:rsidR="00F960C8">
        <w:t xml:space="preserve">how the </w:t>
      </w:r>
      <w:r w:rsidR="002633D3">
        <w:t xml:space="preserve">aged care system </w:t>
      </w:r>
      <w:r w:rsidR="00442FEB">
        <w:t xml:space="preserve">is operating </w:t>
      </w:r>
      <w:r w:rsidR="00483018">
        <w:t xml:space="preserve">and </w:t>
      </w:r>
      <w:r w:rsidR="001900E6">
        <w:t>help</w:t>
      </w:r>
      <w:r w:rsidR="00FF471F">
        <w:t>s</w:t>
      </w:r>
      <w:r w:rsidR="001900E6">
        <w:t xml:space="preserve"> us decide where to focus our efforts</w:t>
      </w:r>
      <w:r w:rsidR="002633D3">
        <w:t xml:space="preserve">. </w:t>
      </w:r>
    </w:p>
    <w:p w14:paraId="123274F5" w14:textId="38A77FFB" w:rsidR="00EB5586" w:rsidRDefault="007C455D" w:rsidP="00DB333C">
      <w:pPr>
        <w:pStyle w:val="Paragraphtext"/>
      </w:pPr>
      <w:r>
        <w:t>Our</w:t>
      </w:r>
      <w:r w:rsidR="00D40C67">
        <w:t xml:space="preserve"> monitoring program will </w:t>
      </w:r>
      <w:r w:rsidR="00385646">
        <w:t>regularly gather data</w:t>
      </w:r>
      <w:r w:rsidR="00D40C67">
        <w:t xml:space="preserve"> from the </w:t>
      </w:r>
      <w:r w:rsidR="00F02822" w:rsidRPr="00F02822">
        <w:t xml:space="preserve">government bodies </w:t>
      </w:r>
      <w:r w:rsidR="00171620">
        <w:t xml:space="preserve">that </w:t>
      </w:r>
      <w:r w:rsidR="00F02822" w:rsidRPr="00F02822">
        <w:t>administer, fund, regulate and deliver the aged care system</w:t>
      </w:r>
      <w:r w:rsidR="00C037A7">
        <w:t>. But</w:t>
      </w:r>
      <w:r w:rsidR="00611D3E">
        <w:t xml:space="preserve"> </w:t>
      </w:r>
      <w:r w:rsidR="005070EB">
        <w:t xml:space="preserve">this is </w:t>
      </w:r>
      <w:r w:rsidR="007A7C65">
        <w:t>just one component of our overall monitoring strategy</w:t>
      </w:r>
      <w:r w:rsidR="00A01CA2">
        <w:t xml:space="preserve">. </w:t>
      </w:r>
      <w:r w:rsidR="00171620">
        <w:t>To</w:t>
      </w:r>
      <w:r w:rsidR="00645A47">
        <w:t xml:space="preserve"> </w:t>
      </w:r>
      <w:r w:rsidR="00832374">
        <w:t>maintain a</w:t>
      </w:r>
      <w:r w:rsidR="00507A12">
        <w:t xml:space="preserve"> comprehensive understanding of the broader issues affecting aged care</w:t>
      </w:r>
      <w:r w:rsidR="00A01CA2">
        <w:t>,</w:t>
      </w:r>
      <w:r w:rsidR="00ED08E5">
        <w:t xml:space="preserve"> </w:t>
      </w:r>
      <w:r w:rsidR="00CE2091">
        <w:t xml:space="preserve">we collect intelligence from a range of sources </w:t>
      </w:r>
      <w:r w:rsidR="00ED08E5">
        <w:t>including</w:t>
      </w:r>
      <w:r w:rsidR="00EB5586">
        <w:t>:</w:t>
      </w:r>
    </w:p>
    <w:p w14:paraId="5CE50D1E" w14:textId="713072CB" w:rsidR="00F05A92" w:rsidRDefault="00F84E62" w:rsidP="00DB333C">
      <w:pPr>
        <w:pStyle w:val="ListBullet"/>
      </w:pPr>
      <w:r>
        <w:t xml:space="preserve">consumers </w:t>
      </w:r>
      <w:r w:rsidR="000E0C6E">
        <w:t>of aged care, including older people, their carer</w:t>
      </w:r>
      <w:r w:rsidR="001777C2">
        <w:t>s</w:t>
      </w:r>
      <w:r w:rsidR="0096051A">
        <w:t>,</w:t>
      </w:r>
      <w:r w:rsidR="000E0C6E">
        <w:t xml:space="preserve"> and families</w:t>
      </w:r>
    </w:p>
    <w:p w14:paraId="6BD71B44" w14:textId="77777777" w:rsidR="00DB078B" w:rsidRDefault="000E0C6E" w:rsidP="00DB333C">
      <w:pPr>
        <w:pStyle w:val="ListBullet"/>
      </w:pPr>
      <w:r>
        <w:lastRenderedPageBreak/>
        <w:t xml:space="preserve">providers, </w:t>
      </w:r>
      <w:r w:rsidR="00EB5586">
        <w:t xml:space="preserve">aged care workers and peak </w:t>
      </w:r>
      <w:r w:rsidR="00DB078B">
        <w:t>representative bodies</w:t>
      </w:r>
    </w:p>
    <w:p w14:paraId="4C56210E" w14:textId="77777777" w:rsidR="00C74CBD" w:rsidRDefault="00C74CBD" w:rsidP="00DB333C">
      <w:pPr>
        <w:pStyle w:val="ListBullet"/>
      </w:pPr>
      <w:r>
        <w:t>national and international journals and reports</w:t>
      </w:r>
    </w:p>
    <w:p w14:paraId="52D7183B" w14:textId="738BAC06" w:rsidR="0064476F" w:rsidRDefault="0064476F" w:rsidP="00DB333C">
      <w:pPr>
        <w:pStyle w:val="ListBullet"/>
      </w:pPr>
      <w:r>
        <w:t>academics and researchers</w:t>
      </w:r>
    </w:p>
    <w:p w14:paraId="72CB791F" w14:textId="1249205F" w:rsidR="0005298A" w:rsidRDefault="0064476F" w:rsidP="00DB333C">
      <w:pPr>
        <w:pStyle w:val="ListBullet"/>
      </w:pPr>
      <w:r>
        <w:t>media and commentators.</w:t>
      </w:r>
    </w:p>
    <w:p w14:paraId="0FCDF8BF" w14:textId="4C19EAE5" w:rsidR="007E19F9" w:rsidRDefault="003C4CA1" w:rsidP="00DB333C">
      <w:pPr>
        <w:pStyle w:val="Paragraphtext"/>
      </w:pPr>
      <w:r>
        <w:t xml:space="preserve">Our analysis of the </w:t>
      </w:r>
      <w:r w:rsidR="00822896">
        <w:t>intelligence</w:t>
      </w:r>
      <w:r w:rsidR="0005298A">
        <w:t xml:space="preserve"> that we collect </w:t>
      </w:r>
      <w:r w:rsidR="00EA5E5D">
        <w:t xml:space="preserve">through our monitoring activities </w:t>
      </w:r>
      <w:r>
        <w:t>will</w:t>
      </w:r>
      <w:r w:rsidR="008728B6">
        <w:t xml:space="preserve"> inform all </w:t>
      </w:r>
      <w:r w:rsidR="00C74CBD">
        <w:t>the</w:t>
      </w:r>
      <w:r w:rsidR="00442FEB">
        <w:t xml:space="preserve"> </w:t>
      </w:r>
      <w:r w:rsidR="00C045F4">
        <w:t xml:space="preserve">activities in </w:t>
      </w:r>
      <w:r w:rsidR="00C74CBD">
        <w:t>our</w:t>
      </w:r>
      <w:r w:rsidR="00C045F4">
        <w:t xml:space="preserve"> Annual Work Plan</w:t>
      </w:r>
      <w:r w:rsidR="003873FD">
        <w:t>, including our reviews, reports</w:t>
      </w:r>
      <w:r w:rsidR="002E6570">
        <w:t xml:space="preserve">, and </w:t>
      </w:r>
      <w:r w:rsidR="00FE3C95">
        <w:t>engagement</w:t>
      </w:r>
      <w:r w:rsidR="008728B6">
        <w:t>.</w:t>
      </w:r>
    </w:p>
    <w:p w14:paraId="3A7DD640" w14:textId="5AFDACEC" w:rsidR="000071A8" w:rsidRDefault="000071A8" w:rsidP="00B81944">
      <w:pPr>
        <w:pStyle w:val="Heading3"/>
      </w:pPr>
      <w:bookmarkStart w:id="10" w:name="_Toc152857323"/>
      <w:r>
        <w:t>Reviews</w:t>
      </w:r>
      <w:bookmarkEnd w:id="10"/>
    </w:p>
    <w:p w14:paraId="08911AF0" w14:textId="379E3A0D" w:rsidR="000071A8" w:rsidRDefault="000071A8" w:rsidP="00DB333C">
      <w:pPr>
        <w:pStyle w:val="Paragraphtext"/>
      </w:pPr>
      <w:r>
        <w:t xml:space="preserve">We help to improve the aged care system </w:t>
      </w:r>
      <w:r w:rsidR="00322902">
        <w:t xml:space="preserve">by </w:t>
      </w:r>
      <w:r w:rsidR="007419FB">
        <w:t>doing</w:t>
      </w:r>
      <w:r w:rsidR="00322902">
        <w:t xml:space="preserve"> </w:t>
      </w:r>
      <w:r>
        <w:t xml:space="preserve">in-depth investigations and </w:t>
      </w:r>
      <w:r w:rsidR="00B8385C">
        <w:t xml:space="preserve">providing </w:t>
      </w:r>
      <w:r w:rsidR="00C634F0">
        <w:t xml:space="preserve">independent advice to the Australian Government </w:t>
      </w:r>
      <w:r>
        <w:t>and parliament</w:t>
      </w:r>
      <w:r w:rsidR="001809B6">
        <w:t xml:space="preserve"> through</w:t>
      </w:r>
      <w:r w:rsidR="00D63AA8">
        <w:t>:</w:t>
      </w:r>
    </w:p>
    <w:p w14:paraId="282BB34B" w14:textId="1B863498" w:rsidR="000071A8" w:rsidRDefault="000071A8" w:rsidP="00DB333C">
      <w:pPr>
        <w:pStyle w:val="ListBullet"/>
      </w:pPr>
      <w:r>
        <w:t>examin</w:t>
      </w:r>
      <w:r w:rsidR="00D63AA8">
        <w:t>ing</w:t>
      </w:r>
      <w:r>
        <w:t xml:space="preserve"> </w:t>
      </w:r>
      <w:r w:rsidR="000F3533">
        <w:t>a</w:t>
      </w:r>
      <w:r w:rsidR="00E02105">
        <w:t xml:space="preserve"> systemic</w:t>
      </w:r>
      <w:r w:rsidR="000F3533">
        <w:t xml:space="preserve"> </w:t>
      </w:r>
      <w:r>
        <w:t>issue or topic that affect</w:t>
      </w:r>
      <w:r w:rsidR="000F3533">
        <w:t>s</w:t>
      </w:r>
      <w:r>
        <w:t xml:space="preserve"> the government's regulation, administration, or funding of aged care services </w:t>
      </w:r>
      <w:r w:rsidR="00954701">
        <w:t xml:space="preserve">or </w:t>
      </w:r>
      <w:r>
        <w:t>the delivery of those services</w:t>
      </w:r>
    </w:p>
    <w:p w14:paraId="594EB75D" w14:textId="069C7DCB" w:rsidR="00190636" w:rsidRDefault="00814B76" w:rsidP="00DB333C">
      <w:pPr>
        <w:pStyle w:val="ListBullet"/>
      </w:pPr>
      <w:r>
        <w:t>writ</w:t>
      </w:r>
      <w:r w:rsidR="00D63AA8">
        <w:t>ing</w:t>
      </w:r>
      <w:r>
        <w:t xml:space="preserve"> </w:t>
      </w:r>
      <w:r w:rsidR="000071A8">
        <w:t>a</w:t>
      </w:r>
      <w:r>
        <w:t xml:space="preserve"> </w:t>
      </w:r>
      <w:r w:rsidRPr="00F430E2">
        <w:t>review</w:t>
      </w:r>
      <w:r w:rsidR="000071A8" w:rsidRPr="00F430E2">
        <w:t xml:space="preserve"> report</w:t>
      </w:r>
      <w:r w:rsidR="006A42A7" w:rsidRPr="00E04CB7">
        <w:t xml:space="preserve"> </w:t>
      </w:r>
    </w:p>
    <w:p w14:paraId="18DD9B9F" w14:textId="2991EA2B" w:rsidR="00E643B4" w:rsidRDefault="00E643B4" w:rsidP="00E643B4">
      <w:pPr>
        <w:pStyle w:val="ListBullet"/>
      </w:pPr>
      <w:r>
        <w:t>publish</w:t>
      </w:r>
      <w:r w:rsidR="00D63AA8">
        <w:t>ing</w:t>
      </w:r>
      <w:r>
        <w:t xml:space="preserve"> </w:t>
      </w:r>
      <w:r w:rsidR="005212FD">
        <w:t>the review report</w:t>
      </w:r>
      <w:r>
        <w:t xml:space="preserve"> on our website</w:t>
      </w:r>
      <w:r w:rsidR="002276BD">
        <w:t>, which</w:t>
      </w:r>
      <w:r>
        <w:t xml:space="preserve"> the Minister for Aged Care tables in parliament</w:t>
      </w:r>
    </w:p>
    <w:p w14:paraId="45821A34" w14:textId="3C928EAB" w:rsidR="00947F05" w:rsidRDefault="000071A8" w:rsidP="00A524D7">
      <w:pPr>
        <w:pStyle w:val="ListBullet"/>
      </w:pPr>
      <w:r>
        <w:t>mak</w:t>
      </w:r>
      <w:r w:rsidR="00D63AA8">
        <w:t>ing</w:t>
      </w:r>
      <w:r>
        <w:t xml:space="preserve"> recommendations for change to the government and parliament.</w:t>
      </w:r>
    </w:p>
    <w:p w14:paraId="133D61D6" w14:textId="439719B2" w:rsidR="003C01F0" w:rsidRDefault="003C01F0" w:rsidP="00A20EA7">
      <w:pPr>
        <w:pStyle w:val="Heading3"/>
      </w:pPr>
      <w:bookmarkStart w:id="11" w:name="_Toc152857324"/>
      <w:r>
        <w:t>Reports</w:t>
      </w:r>
      <w:bookmarkEnd w:id="11"/>
    </w:p>
    <w:p w14:paraId="697EFA5C" w14:textId="2FBF5D8C" w:rsidR="003C01F0" w:rsidRDefault="003C01F0" w:rsidP="00DB333C">
      <w:pPr>
        <w:pStyle w:val="Paragraphtext"/>
      </w:pPr>
      <w:r>
        <w:t>We produce a range of reports</w:t>
      </w:r>
      <w:r w:rsidR="00A20EA7">
        <w:t xml:space="preserve"> that fit broadly into three categories:</w:t>
      </w:r>
    </w:p>
    <w:p w14:paraId="0492F67A" w14:textId="6B8C74F0" w:rsidR="003C01F0" w:rsidRPr="0039383B" w:rsidRDefault="003C01F0" w:rsidP="0039383B">
      <w:pPr>
        <w:pStyle w:val="ListBullet"/>
      </w:pPr>
      <w:r w:rsidRPr="0039383B">
        <w:rPr>
          <w:b/>
          <w:bCs/>
        </w:rPr>
        <w:t>progress reports</w:t>
      </w:r>
      <w:r w:rsidRPr="0039383B">
        <w:t xml:space="preserve"> </w:t>
      </w:r>
      <w:r w:rsidR="00541C0D" w:rsidRPr="0039383B">
        <w:t xml:space="preserve">that </w:t>
      </w:r>
      <w:r w:rsidRPr="0039383B">
        <w:t xml:space="preserve">provide updates on the implementation of </w:t>
      </w:r>
      <w:r w:rsidR="0093052E">
        <w:t>R</w:t>
      </w:r>
      <w:r w:rsidRPr="0039383B">
        <w:t xml:space="preserve">oyal </w:t>
      </w:r>
      <w:r w:rsidR="0093052E">
        <w:t>C</w:t>
      </w:r>
      <w:r w:rsidRPr="0039383B">
        <w:t>ommission recommendations</w:t>
      </w:r>
    </w:p>
    <w:p w14:paraId="07377606" w14:textId="5766224B" w:rsidR="00541C0D" w:rsidRPr="0039383B" w:rsidRDefault="00541C0D" w:rsidP="0039383B">
      <w:pPr>
        <w:pStyle w:val="ListBullet"/>
      </w:pPr>
      <w:r w:rsidRPr="0039383B">
        <w:rPr>
          <w:b/>
          <w:bCs/>
        </w:rPr>
        <w:t>standalone reports</w:t>
      </w:r>
      <w:r w:rsidRPr="0039383B">
        <w:t xml:space="preserve"> </w:t>
      </w:r>
      <w:r w:rsidR="003533DD" w:rsidRPr="0039383B">
        <w:t xml:space="preserve">on </w:t>
      </w:r>
      <w:r w:rsidR="00994AA0" w:rsidRPr="0039383B">
        <w:t xml:space="preserve">specific topics or </w:t>
      </w:r>
      <w:r w:rsidR="003533DD" w:rsidRPr="0039383B">
        <w:t xml:space="preserve">matters </w:t>
      </w:r>
      <w:r w:rsidR="008A70F4" w:rsidRPr="0039383B">
        <w:t>relating to the aged care system</w:t>
      </w:r>
      <w:r w:rsidR="004F24C9" w:rsidRPr="0039383B">
        <w:t xml:space="preserve"> – </w:t>
      </w:r>
      <w:r w:rsidR="00C20648" w:rsidRPr="0039383B">
        <w:t xml:space="preserve">for example, </w:t>
      </w:r>
      <w:r w:rsidR="00BE03DC" w:rsidRPr="0039383B">
        <w:t xml:space="preserve">reports on </w:t>
      </w:r>
      <w:r w:rsidRPr="0039383B">
        <w:t>performance of other government bodies</w:t>
      </w:r>
      <w:r w:rsidR="003533DD" w:rsidRPr="0039383B">
        <w:t xml:space="preserve">, </w:t>
      </w:r>
      <w:r w:rsidR="00005826" w:rsidRPr="0039383B">
        <w:t>issues-based reports, aged care data reports,</w:t>
      </w:r>
      <w:r w:rsidR="005A5EC5" w:rsidRPr="0039383B">
        <w:t xml:space="preserve"> and</w:t>
      </w:r>
      <w:r w:rsidR="00005826" w:rsidRPr="0039383B">
        <w:t xml:space="preserve"> review update reports</w:t>
      </w:r>
    </w:p>
    <w:p w14:paraId="150658E6" w14:textId="67A1DD95" w:rsidR="003C01F0" w:rsidRPr="0039383B" w:rsidRDefault="003C01F0" w:rsidP="0039383B">
      <w:pPr>
        <w:pStyle w:val="ListBullet"/>
      </w:pPr>
      <w:r w:rsidRPr="0039383B">
        <w:rPr>
          <w:b/>
          <w:bCs/>
        </w:rPr>
        <w:t>corporate reports</w:t>
      </w:r>
      <w:r w:rsidRPr="0039383B">
        <w:t xml:space="preserve"> </w:t>
      </w:r>
      <w:r w:rsidR="009178DD" w:rsidRPr="0039383B">
        <w:t>including our</w:t>
      </w:r>
      <w:r w:rsidRPr="0039383B">
        <w:t xml:space="preserve"> corporate plan</w:t>
      </w:r>
      <w:r w:rsidR="009178DD" w:rsidRPr="0039383B">
        <w:t xml:space="preserve"> and annual reports</w:t>
      </w:r>
      <w:r w:rsidR="0093052E">
        <w:t>.</w:t>
      </w:r>
    </w:p>
    <w:p w14:paraId="61B44300" w14:textId="0AC4062A" w:rsidR="00CF391D" w:rsidRDefault="003C01F0" w:rsidP="00DB333C">
      <w:pPr>
        <w:pStyle w:val="Paragraphtext"/>
      </w:pPr>
      <w:r>
        <w:t xml:space="preserve">We publish our reports on </w:t>
      </w:r>
      <w:r w:rsidR="009178DD">
        <w:t>our website and t</w:t>
      </w:r>
      <w:r>
        <w:t>he Minister for Aged Care</w:t>
      </w:r>
      <w:r w:rsidR="000F4DC8">
        <w:t xml:space="preserve"> tables them in parliament</w:t>
      </w:r>
      <w:r w:rsidR="005A5EC5">
        <w:t>.</w:t>
      </w:r>
    </w:p>
    <w:p w14:paraId="15CF5419" w14:textId="318C31D8" w:rsidR="00CF391D" w:rsidRDefault="00CF391D" w:rsidP="005A5EC5">
      <w:pPr>
        <w:pStyle w:val="Heading3"/>
      </w:pPr>
      <w:bookmarkStart w:id="12" w:name="_Toc152857325"/>
      <w:r w:rsidRPr="00F150A5">
        <w:t>Oversight of complaints management</w:t>
      </w:r>
      <w:bookmarkEnd w:id="12"/>
    </w:p>
    <w:p w14:paraId="4DD9F0B6" w14:textId="04E86D4C" w:rsidR="00CF391D" w:rsidRDefault="00CF391D" w:rsidP="00E23912">
      <w:pPr>
        <w:pStyle w:val="Paragraphtext"/>
      </w:pPr>
      <w:r>
        <w:t xml:space="preserve">We </w:t>
      </w:r>
      <w:r w:rsidR="00A26E4B">
        <w:t>monitor the</w:t>
      </w:r>
      <w:r w:rsidR="00170A48">
        <w:t xml:space="preserve"> </w:t>
      </w:r>
      <w:r w:rsidR="00BC3CD3">
        <w:t>way that</w:t>
      </w:r>
      <w:r w:rsidR="002276BD">
        <w:t xml:space="preserve"> </w:t>
      </w:r>
      <w:r>
        <w:t>complaints</w:t>
      </w:r>
      <w:r w:rsidR="00597C7E">
        <w:t xml:space="preserve"> processes</w:t>
      </w:r>
      <w:r>
        <w:t xml:space="preserve"> </w:t>
      </w:r>
      <w:r w:rsidR="00563B68">
        <w:t xml:space="preserve">in the </w:t>
      </w:r>
      <w:r>
        <w:t>aged care</w:t>
      </w:r>
      <w:r w:rsidR="00563B68">
        <w:t xml:space="preserve"> system</w:t>
      </w:r>
      <w:r>
        <w:t xml:space="preserve"> are managed by:</w:t>
      </w:r>
    </w:p>
    <w:p w14:paraId="073B72AF" w14:textId="77777777" w:rsidR="00CF391D" w:rsidRPr="0039383B" w:rsidRDefault="00CF391D" w:rsidP="0039383B">
      <w:pPr>
        <w:pStyle w:val="ListBullet"/>
      </w:pPr>
      <w:r w:rsidRPr="0039383B">
        <w:t>government agencies</w:t>
      </w:r>
    </w:p>
    <w:p w14:paraId="0EAB5495" w14:textId="77777777" w:rsidR="00CF391D" w:rsidRPr="0039383B" w:rsidRDefault="00CF391D" w:rsidP="0039383B">
      <w:pPr>
        <w:pStyle w:val="ListBullet"/>
      </w:pPr>
      <w:r w:rsidRPr="0039383B">
        <w:t>approved providers</w:t>
      </w:r>
    </w:p>
    <w:p w14:paraId="5DD883A9" w14:textId="77777777" w:rsidR="00CF391D" w:rsidRPr="0039383B" w:rsidRDefault="00CF391D" w:rsidP="0039383B">
      <w:pPr>
        <w:pStyle w:val="ListBullet"/>
      </w:pPr>
      <w:r w:rsidRPr="0039383B">
        <w:t>other aged care bodies funded or regulated by the Australian Government.</w:t>
      </w:r>
    </w:p>
    <w:p w14:paraId="563FD8B0" w14:textId="4D216FA7" w:rsidR="00CF391D" w:rsidRPr="0039383B" w:rsidRDefault="00CF391D" w:rsidP="00DB333C">
      <w:pPr>
        <w:pStyle w:val="Paragraphtext"/>
      </w:pPr>
      <w:r w:rsidRPr="0039383B">
        <w:t xml:space="preserve">We look at how they </w:t>
      </w:r>
      <w:r w:rsidR="0005601A">
        <w:t>manage</w:t>
      </w:r>
      <w:r w:rsidR="000A1C02">
        <w:t xml:space="preserve"> their</w:t>
      </w:r>
      <w:r w:rsidR="0005601A" w:rsidRPr="0039383B">
        <w:t xml:space="preserve"> </w:t>
      </w:r>
      <w:r w:rsidRPr="0039383B">
        <w:t>complaints and recommend ways to improve their complaints processes. This is to ensure complaints management processes in aged care are:</w:t>
      </w:r>
    </w:p>
    <w:p w14:paraId="79DD2B00" w14:textId="3E522E3E" w:rsidR="00020C22" w:rsidRDefault="00CF391D" w:rsidP="00287FF7">
      <w:pPr>
        <w:pStyle w:val="ListBullet"/>
      </w:pPr>
      <w:r>
        <w:t>fit for purpose</w:t>
      </w:r>
      <w:r w:rsidR="00F11B87">
        <w:t xml:space="preserve">, </w:t>
      </w:r>
      <w:r>
        <w:t>effective, efficient, and accessible</w:t>
      </w:r>
    </w:p>
    <w:p w14:paraId="77021E0E" w14:textId="282A1D46" w:rsidR="00CF391D" w:rsidRDefault="00020C22" w:rsidP="00020C22">
      <w:pPr>
        <w:pStyle w:val="ListBullet"/>
      </w:pPr>
      <w:r>
        <w:t>d</w:t>
      </w:r>
      <w:r w:rsidR="00726C20">
        <w:t xml:space="preserve">elivering appropriate </w:t>
      </w:r>
      <w:r w:rsidR="003C3D45">
        <w:t>outcome</w:t>
      </w:r>
      <w:r w:rsidR="00726C20">
        <w:t>s</w:t>
      </w:r>
      <w:r>
        <w:t>.</w:t>
      </w:r>
    </w:p>
    <w:p w14:paraId="294907FF" w14:textId="3605EFA5" w:rsidR="00D73AEB" w:rsidRDefault="005A703B" w:rsidP="00DB333C">
      <w:pPr>
        <w:pStyle w:val="Paragraphtext"/>
      </w:pPr>
      <w:r w:rsidRPr="005A703B">
        <w:t xml:space="preserve">The Inspector-General does not have the power to investigate individual complaints about aged care. </w:t>
      </w:r>
      <w:r>
        <w:t>This remains the responsibility of t</w:t>
      </w:r>
      <w:r w:rsidRPr="005A703B">
        <w:t>he agency or body th</w:t>
      </w:r>
      <w:r>
        <w:t>at the</w:t>
      </w:r>
      <w:r w:rsidRPr="005A703B">
        <w:t xml:space="preserve"> complaint is</w:t>
      </w:r>
      <w:r>
        <w:t xml:space="preserve"> about</w:t>
      </w:r>
      <w:r w:rsidR="007032B9">
        <w:t>, or of the Aged Care Quality and Safety Commission when complaints about providers are referred to it</w:t>
      </w:r>
      <w:r w:rsidRPr="005A703B">
        <w:t>.</w:t>
      </w:r>
    </w:p>
    <w:p w14:paraId="50F9F36C" w14:textId="3CF947D6" w:rsidR="00A20EA7" w:rsidRPr="00EE17E2" w:rsidRDefault="0078570A" w:rsidP="00A20EA7">
      <w:pPr>
        <w:pStyle w:val="Heading3"/>
      </w:pPr>
      <w:bookmarkStart w:id="13" w:name="_Toc152857326"/>
      <w:r>
        <w:lastRenderedPageBreak/>
        <w:t>Inform</w:t>
      </w:r>
      <w:bookmarkEnd w:id="13"/>
    </w:p>
    <w:p w14:paraId="0507051E" w14:textId="7A6CDC86" w:rsidR="00A8650E" w:rsidRPr="00EE17E2" w:rsidRDefault="00CC68E0" w:rsidP="00DB333C">
      <w:pPr>
        <w:pStyle w:val="Paragraphtext"/>
      </w:pPr>
      <w:r w:rsidRPr="00632BF6">
        <w:t xml:space="preserve">We </w:t>
      </w:r>
      <w:r w:rsidR="00466626">
        <w:t xml:space="preserve">see ourselves as having a significant </w:t>
      </w:r>
      <w:r w:rsidRPr="00632BF6">
        <w:t xml:space="preserve">role in </w:t>
      </w:r>
      <w:r w:rsidRPr="00466626">
        <w:t>informing</w:t>
      </w:r>
      <w:r w:rsidRPr="00632BF6">
        <w:t xml:space="preserve"> </w:t>
      </w:r>
      <w:r w:rsidR="00466626">
        <w:t>government</w:t>
      </w:r>
      <w:r w:rsidRPr="00632BF6">
        <w:t xml:space="preserve"> and </w:t>
      </w:r>
      <w:r w:rsidR="008852F0" w:rsidRPr="00632BF6">
        <w:t xml:space="preserve">community about the weaknesses </w:t>
      </w:r>
      <w:r w:rsidR="009446BA">
        <w:t>and</w:t>
      </w:r>
      <w:r w:rsidR="00DF479D">
        <w:t xml:space="preserve"> </w:t>
      </w:r>
      <w:r w:rsidR="009446BA">
        <w:t>successes</w:t>
      </w:r>
      <w:r w:rsidR="00DF479D">
        <w:t xml:space="preserve"> </w:t>
      </w:r>
      <w:r w:rsidR="008852F0" w:rsidRPr="00632BF6">
        <w:t xml:space="preserve">in the sector and driving positive change </w:t>
      </w:r>
      <w:r w:rsidR="008852F0">
        <w:t>for older people</w:t>
      </w:r>
      <w:r w:rsidR="007032B9">
        <w:t xml:space="preserve"> who need aged care</w:t>
      </w:r>
      <w:r w:rsidR="008852F0" w:rsidRPr="00632BF6">
        <w:t>.</w:t>
      </w:r>
      <w:r w:rsidR="008852F0">
        <w:t xml:space="preserve"> </w:t>
      </w:r>
      <w:r w:rsidR="00D21EAC">
        <w:t>We</w:t>
      </w:r>
      <w:r w:rsidR="00A20EA7" w:rsidRPr="00EE17E2">
        <w:t xml:space="preserve"> </w:t>
      </w:r>
      <w:r w:rsidR="001D0305" w:rsidRPr="00EE17E2">
        <w:t>will</w:t>
      </w:r>
      <w:r w:rsidR="00A8650E" w:rsidRPr="00EE17E2">
        <w:t xml:space="preserve"> </w:t>
      </w:r>
      <w:r w:rsidR="00BC3E7F" w:rsidRPr="00EE17E2">
        <w:t>share</w:t>
      </w:r>
      <w:r w:rsidR="00A8650E" w:rsidRPr="00EE17E2">
        <w:t xml:space="preserve"> </w:t>
      </w:r>
      <w:r w:rsidR="00E71E0A" w:rsidRPr="00EE17E2">
        <w:t xml:space="preserve">the </w:t>
      </w:r>
      <w:r w:rsidR="00A8650E" w:rsidRPr="00EE17E2">
        <w:t>insights</w:t>
      </w:r>
      <w:r w:rsidR="00297DF0" w:rsidRPr="00EE17E2">
        <w:t xml:space="preserve"> </w:t>
      </w:r>
      <w:r w:rsidR="00D21EAC">
        <w:t>we obtain</w:t>
      </w:r>
      <w:r w:rsidR="00E71E0A" w:rsidRPr="00EE17E2">
        <w:t xml:space="preserve"> </w:t>
      </w:r>
      <w:r w:rsidR="00297DF0" w:rsidRPr="00EE17E2">
        <w:t>through our analyses, reviews</w:t>
      </w:r>
      <w:r w:rsidR="00D21EAC">
        <w:t>,</w:t>
      </w:r>
      <w:r w:rsidR="00297DF0" w:rsidRPr="00EE17E2">
        <w:t xml:space="preserve"> and reports</w:t>
      </w:r>
      <w:r w:rsidR="0050660D">
        <w:t xml:space="preserve"> </w:t>
      </w:r>
      <w:r w:rsidR="00D73AEB">
        <w:t xml:space="preserve">– and </w:t>
      </w:r>
      <w:r w:rsidR="00D73AEB" w:rsidRPr="00EE17E2">
        <w:t xml:space="preserve">highlight best practice approaches </w:t>
      </w:r>
      <w:r w:rsidR="00D73AEB">
        <w:t xml:space="preserve">– </w:t>
      </w:r>
      <w:r w:rsidR="00E71E0A" w:rsidRPr="00EE17E2">
        <w:t>with the aim of encouraging greater innovation and compliance in the aged care</w:t>
      </w:r>
      <w:r w:rsidR="00244122" w:rsidRPr="00EE17E2">
        <w:t xml:space="preserve"> system. </w:t>
      </w:r>
    </w:p>
    <w:p w14:paraId="21B05925" w14:textId="3FCA8568" w:rsidR="00A20EA7" w:rsidRDefault="00A20EA7" w:rsidP="00A20EA7">
      <w:pPr>
        <w:pStyle w:val="Heading3"/>
      </w:pPr>
      <w:bookmarkStart w:id="14" w:name="_Toc152857327"/>
      <w:r>
        <w:t>Engage</w:t>
      </w:r>
      <w:bookmarkEnd w:id="14"/>
    </w:p>
    <w:p w14:paraId="2CB4CA76" w14:textId="29BC235F" w:rsidR="0063667C" w:rsidRDefault="00A20EA7" w:rsidP="00DB333C">
      <w:pPr>
        <w:pStyle w:val="Paragraphtext"/>
      </w:pPr>
      <w:r>
        <w:t>Engagement is an ongoing and integral part of our work. We will</w:t>
      </w:r>
      <w:r w:rsidR="00303264">
        <w:t xml:space="preserve"> continue to</w:t>
      </w:r>
      <w:r>
        <w:t xml:space="preserve"> look for ways to expand our engagement activities to ensure we can </w:t>
      </w:r>
      <w:r w:rsidR="0063667C">
        <w:t xml:space="preserve">talk to and hear from </w:t>
      </w:r>
      <w:r>
        <w:t xml:space="preserve">older people, their families, carers, providers, the aged care </w:t>
      </w:r>
      <w:r w:rsidR="00BA1780">
        <w:t>workforce,</w:t>
      </w:r>
      <w:r>
        <w:t xml:space="preserve"> </w:t>
      </w:r>
      <w:r w:rsidR="007032B9">
        <w:t xml:space="preserve">researchers, </w:t>
      </w:r>
      <w:r>
        <w:t>and their representative</w:t>
      </w:r>
      <w:r w:rsidR="00761E8D">
        <w:t xml:space="preserve"> peak bodie</w:t>
      </w:r>
      <w:r>
        <w:t>s</w:t>
      </w:r>
      <w:r w:rsidR="0063667C">
        <w:t>.</w:t>
      </w:r>
      <w:r w:rsidR="00A6734E">
        <w:t xml:space="preserve"> </w:t>
      </w:r>
    </w:p>
    <w:p w14:paraId="45A632E7" w14:textId="3F0BE061" w:rsidR="0036670A" w:rsidRDefault="0036670A" w:rsidP="00DB333C">
      <w:pPr>
        <w:pStyle w:val="Paragraphtext"/>
      </w:pPr>
      <w:r w:rsidRPr="0036670A">
        <w:t xml:space="preserve">We will build and maintain our capability to engage effectively and openly with </w:t>
      </w:r>
      <w:r w:rsidR="00395891">
        <w:t>our target audiences</w:t>
      </w:r>
      <w:r>
        <w:t xml:space="preserve"> to inform our analys</w:t>
      </w:r>
      <w:r w:rsidR="001A5EBA">
        <w:t>e</w:t>
      </w:r>
      <w:r>
        <w:t xml:space="preserve">s, reviews and reports. We are committed to engaging with people from all backgrounds and needs, including </w:t>
      </w:r>
      <w:r w:rsidR="007032B9">
        <w:t xml:space="preserve">First Nations people and providers, </w:t>
      </w:r>
      <w:r w:rsidRPr="007242DD">
        <w:t>people with disabilit</w:t>
      </w:r>
      <w:r>
        <w:t>ies</w:t>
      </w:r>
      <w:r w:rsidRPr="007242DD">
        <w:t>, people with caring responsibilities, people who identify as LGBTQIA+, people from cultural and linguistically diverse backgrounds</w:t>
      </w:r>
      <w:r w:rsidR="008F30AE">
        <w:t>,</w:t>
      </w:r>
      <w:r w:rsidRPr="007242DD">
        <w:t xml:space="preserve"> and people who identify as neurodivergent.</w:t>
      </w:r>
      <w:r>
        <w:t xml:space="preserve"> </w:t>
      </w:r>
    </w:p>
    <w:p w14:paraId="3B40534E" w14:textId="22B781A7" w:rsidR="00947F05" w:rsidRDefault="006B53E2" w:rsidP="005D2CDE">
      <w:pPr>
        <w:pStyle w:val="Heading1"/>
      </w:pPr>
      <w:bookmarkStart w:id="15" w:name="_Toc152857328"/>
      <w:r>
        <w:t xml:space="preserve">Operating </w:t>
      </w:r>
      <w:r w:rsidR="001F4040">
        <w:t>context</w:t>
      </w:r>
      <w:bookmarkEnd w:id="15"/>
    </w:p>
    <w:p w14:paraId="624A63DF" w14:textId="58D5E72F" w:rsidR="0029069F" w:rsidRDefault="001F4040" w:rsidP="00A20EFD">
      <w:pPr>
        <w:pStyle w:val="Heading2"/>
      </w:pPr>
      <w:bookmarkStart w:id="16" w:name="_Toc152857329"/>
      <w:r>
        <w:t>Environment</w:t>
      </w:r>
      <w:bookmarkEnd w:id="16"/>
    </w:p>
    <w:p w14:paraId="2D226671" w14:textId="197C43C3" w:rsidR="00160443" w:rsidRDefault="00E96686" w:rsidP="00DB333C">
      <w:pPr>
        <w:pStyle w:val="Paragraphtext"/>
      </w:pPr>
      <w:r>
        <w:t>As a new statutory agency</w:t>
      </w:r>
      <w:r w:rsidR="00011800">
        <w:t xml:space="preserve"> our focus in</w:t>
      </w:r>
      <w:r w:rsidR="00890880">
        <w:t xml:space="preserve"> 2023-24 and over the next 4 years</w:t>
      </w:r>
      <w:r w:rsidR="00011800">
        <w:t xml:space="preserve"> will be </w:t>
      </w:r>
      <w:r w:rsidR="00890880">
        <w:t>on establishing</w:t>
      </w:r>
      <w:r w:rsidR="00302610">
        <w:t xml:space="preserve"> </w:t>
      </w:r>
      <w:r w:rsidR="00595EC7">
        <w:t>the Office as</w:t>
      </w:r>
      <w:r w:rsidR="005722A3">
        <w:t xml:space="preserve"> a </w:t>
      </w:r>
      <w:r w:rsidR="00160443" w:rsidRPr="00E622E9">
        <w:t xml:space="preserve">trusted authority that ensures integrity and accountability in the aged care system. </w:t>
      </w:r>
    </w:p>
    <w:p w14:paraId="472A1341" w14:textId="372EDB6A" w:rsidR="005678EB" w:rsidRDefault="00BE7723" w:rsidP="00DB333C">
      <w:pPr>
        <w:pStyle w:val="Paragraphtext"/>
      </w:pPr>
      <w:r>
        <w:t>O</w:t>
      </w:r>
      <w:r w:rsidR="009F1810">
        <w:t xml:space="preserve">ur </w:t>
      </w:r>
      <w:r w:rsidR="00993E26">
        <w:t xml:space="preserve">immediate </w:t>
      </w:r>
      <w:r w:rsidR="009F1810">
        <w:t xml:space="preserve">priority is to continue to </w:t>
      </w:r>
      <w:r w:rsidR="001F0036">
        <w:t xml:space="preserve">build </w:t>
      </w:r>
      <w:r w:rsidR="00C84F13">
        <w:t xml:space="preserve">the </w:t>
      </w:r>
      <w:r w:rsidR="001F0036">
        <w:t xml:space="preserve">strong foundations needed to position us well for the future. </w:t>
      </w:r>
      <w:r w:rsidR="00C84F13">
        <w:t>This includes</w:t>
      </w:r>
      <w:r w:rsidR="00E94445">
        <w:t xml:space="preserve"> embedding </w:t>
      </w:r>
      <w:r w:rsidR="00F17230">
        <w:t>our</w:t>
      </w:r>
      <w:r w:rsidR="00B85804">
        <w:t xml:space="preserve"> </w:t>
      </w:r>
      <w:r w:rsidR="00E94445">
        <w:t>accountability</w:t>
      </w:r>
      <w:r w:rsidR="001D1F27">
        <w:t xml:space="preserve">, risk management </w:t>
      </w:r>
      <w:r w:rsidR="00E94445">
        <w:t>and governance</w:t>
      </w:r>
      <w:r w:rsidR="001E79FE">
        <w:t xml:space="preserve"> frameworks</w:t>
      </w:r>
      <w:r w:rsidR="00B21F98">
        <w:t xml:space="preserve"> and practices</w:t>
      </w:r>
      <w:r w:rsidR="001E79FE">
        <w:t>,</w:t>
      </w:r>
      <w:r w:rsidR="00C84F13">
        <w:t xml:space="preserve"> building our staffing</w:t>
      </w:r>
      <w:r w:rsidR="003E4A83">
        <w:t xml:space="preserve"> </w:t>
      </w:r>
      <w:r w:rsidR="001E79FE">
        <w:t>levels and capability</w:t>
      </w:r>
      <w:r w:rsidR="001D1F27">
        <w:t>, building</w:t>
      </w:r>
      <w:r w:rsidR="003E4A83">
        <w:t xml:space="preserve"> our </w:t>
      </w:r>
      <w:r w:rsidR="001D1F27">
        <w:t xml:space="preserve">systems and </w:t>
      </w:r>
      <w:r w:rsidR="003E4A83">
        <w:t>technology</w:t>
      </w:r>
      <w:r w:rsidR="005678EB">
        <w:t>,</w:t>
      </w:r>
      <w:r w:rsidR="001D1F27">
        <w:t xml:space="preserve"> </w:t>
      </w:r>
      <w:r w:rsidR="00166E57">
        <w:t>and establishing</w:t>
      </w:r>
      <w:r w:rsidR="003E4A83">
        <w:t xml:space="preserve"> our processes and policies</w:t>
      </w:r>
      <w:r w:rsidR="00166E57">
        <w:t>.</w:t>
      </w:r>
    </w:p>
    <w:p w14:paraId="1E7559F0" w14:textId="71395786" w:rsidR="00F3717C" w:rsidRDefault="00AC08D3" w:rsidP="00DB333C">
      <w:pPr>
        <w:pStyle w:val="Paragraphtext"/>
      </w:pPr>
      <w:r>
        <w:t>On 15 December 2023,</w:t>
      </w:r>
      <w:r w:rsidR="00FA1D09">
        <w:t xml:space="preserve"> we</w:t>
      </w:r>
      <w:r>
        <w:t xml:space="preserve"> </w:t>
      </w:r>
      <w:r w:rsidR="00063C77">
        <w:t>published</w:t>
      </w:r>
      <w:r w:rsidR="00DA3D0F">
        <w:t xml:space="preserve"> our </w:t>
      </w:r>
      <w:r w:rsidR="00D27F67">
        <w:t xml:space="preserve">first </w:t>
      </w:r>
      <w:r w:rsidR="009F6AD5">
        <w:t>A</w:t>
      </w:r>
      <w:r w:rsidR="00DA3D0F">
        <w:t xml:space="preserve">nnual </w:t>
      </w:r>
      <w:r w:rsidR="009F6AD5">
        <w:t>W</w:t>
      </w:r>
      <w:r w:rsidR="00DA3D0F">
        <w:t xml:space="preserve">ork </w:t>
      </w:r>
      <w:r w:rsidR="009F6AD5">
        <w:t>P</w:t>
      </w:r>
      <w:r w:rsidR="00D27F67">
        <w:t>lan</w:t>
      </w:r>
      <w:r w:rsidR="00867456">
        <w:t>, which</w:t>
      </w:r>
      <w:r w:rsidR="009F6AD5">
        <w:t xml:space="preserve"> </w:t>
      </w:r>
      <w:r w:rsidR="00795D8C">
        <w:t>outline</w:t>
      </w:r>
      <w:r w:rsidR="00867456">
        <w:t>s</w:t>
      </w:r>
      <w:r w:rsidR="00C019CF">
        <w:t xml:space="preserve"> the activities that we will </w:t>
      </w:r>
      <w:r w:rsidR="009F2AEC">
        <w:t>complete</w:t>
      </w:r>
      <w:r w:rsidR="00264DFC">
        <w:t xml:space="preserve"> in </w:t>
      </w:r>
      <w:r>
        <w:t xml:space="preserve">the remainder of the </w:t>
      </w:r>
      <w:r w:rsidR="00264DFC">
        <w:t>2023-24</w:t>
      </w:r>
      <w:r>
        <w:t xml:space="preserve"> Financial Year</w:t>
      </w:r>
      <w:r w:rsidR="00867456">
        <w:t xml:space="preserve">. </w:t>
      </w:r>
      <w:r w:rsidR="00FA1D09">
        <w:t xml:space="preserve">Publication of </w:t>
      </w:r>
      <w:r w:rsidR="00984484">
        <w:t>an</w:t>
      </w:r>
      <w:r w:rsidR="00FA1D09">
        <w:t xml:space="preserve"> Annual Work Plan is required under our legislation</w:t>
      </w:r>
      <w:r w:rsidR="00F61DE6">
        <w:t xml:space="preserve">. It </w:t>
      </w:r>
      <w:r>
        <w:t xml:space="preserve">includes </w:t>
      </w:r>
      <w:r w:rsidR="00984484">
        <w:t xml:space="preserve">details of </w:t>
      </w:r>
      <w:r w:rsidR="00692BB5">
        <w:t xml:space="preserve">our </w:t>
      </w:r>
      <w:r w:rsidR="00D27F67">
        <w:t>first review</w:t>
      </w:r>
      <w:r w:rsidR="00264DFC">
        <w:t xml:space="preserve"> and </w:t>
      </w:r>
      <w:r w:rsidR="00063C77">
        <w:t>our</w:t>
      </w:r>
      <w:r w:rsidR="00D27F67">
        <w:t xml:space="preserve"> second progress report</w:t>
      </w:r>
      <w:r w:rsidR="00CB4611">
        <w:rPr>
          <w:rStyle w:val="FootnoteReference"/>
        </w:rPr>
        <w:footnoteReference w:id="2"/>
      </w:r>
      <w:r w:rsidR="00063C77">
        <w:t xml:space="preserve"> </w:t>
      </w:r>
      <w:r w:rsidR="00D27F67">
        <w:t xml:space="preserve">on </w:t>
      </w:r>
      <w:r w:rsidR="00827C1E">
        <w:t>the Commonwealth’s implementation of the Royal Commission recommendations</w:t>
      </w:r>
      <w:r w:rsidR="00337C99">
        <w:t>,</w:t>
      </w:r>
      <w:r w:rsidR="0020119E" w:rsidRPr="00154C4A">
        <w:t xml:space="preserve"> which will examine reform implementation up to 31</w:t>
      </w:r>
      <w:r w:rsidR="00692BB5">
        <w:t> </w:t>
      </w:r>
      <w:r w:rsidR="0020119E" w:rsidRPr="00154C4A">
        <w:t>December 2023</w:t>
      </w:r>
      <w:r w:rsidR="00827C1E">
        <w:t xml:space="preserve">. </w:t>
      </w:r>
    </w:p>
    <w:p w14:paraId="6CD7413F" w14:textId="706DA20E" w:rsidR="009724E7" w:rsidRDefault="00173457" w:rsidP="005D682B">
      <w:pPr>
        <w:pStyle w:val="Paragraphtext"/>
      </w:pPr>
      <w:r w:rsidRPr="0074662D">
        <w:t xml:space="preserve">The </w:t>
      </w:r>
      <w:r>
        <w:t xml:space="preserve">IGAC </w:t>
      </w:r>
      <w:r w:rsidRPr="0074662D">
        <w:t xml:space="preserve">Act gives </w:t>
      </w:r>
      <w:r>
        <w:t>us</w:t>
      </w:r>
      <w:r w:rsidRPr="0074662D">
        <w:t xml:space="preserve"> independence</w:t>
      </w:r>
      <w:r>
        <w:t xml:space="preserve"> and </w:t>
      </w:r>
      <w:r w:rsidRPr="0074662D">
        <w:t>the legislative powers to fully investigate systemic issues across the aged care system</w:t>
      </w:r>
      <w:r w:rsidR="00983EE4">
        <w:t>,</w:t>
      </w:r>
      <w:r w:rsidRPr="0074662D">
        <w:t xml:space="preserve"> to help make services better meet the diverse needs of older people in Australia.</w:t>
      </w:r>
      <w:r>
        <w:t xml:space="preserve"> But we are</w:t>
      </w:r>
      <w:r w:rsidR="002B3C9B">
        <w:t xml:space="preserve"> acutely aware that we</w:t>
      </w:r>
      <w:r w:rsidR="00BF3097" w:rsidRPr="00154C4A">
        <w:t xml:space="preserve"> are operating in a sector that is undergoing </w:t>
      </w:r>
      <w:r w:rsidR="00CC2CF7" w:rsidRPr="00154C4A">
        <w:t>significant reform</w:t>
      </w:r>
      <w:r w:rsidR="00A85248">
        <w:t xml:space="preserve"> and</w:t>
      </w:r>
      <w:r w:rsidR="000E6AFA">
        <w:t xml:space="preserve"> we are committed to understanding</w:t>
      </w:r>
      <w:r w:rsidR="007A03E2">
        <w:t xml:space="preserve"> </w:t>
      </w:r>
      <w:r w:rsidR="000E6AFA">
        <w:t>and responding</w:t>
      </w:r>
      <w:r w:rsidR="009724E7">
        <w:t xml:space="preserve"> to changes in our operating environment. </w:t>
      </w:r>
    </w:p>
    <w:p w14:paraId="3A1EC531" w14:textId="6DF43013" w:rsidR="00BF3097" w:rsidRPr="00154C4A" w:rsidRDefault="00F631C1" w:rsidP="00DB333C">
      <w:pPr>
        <w:pStyle w:val="Paragraphtext"/>
      </w:pPr>
      <w:r>
        <w:lastRenderedPageBreak/>
        <w:t>Key</w:t>
      </w:r>
      <w:r w:rsidR="00017867">
        <w:t xml:space="preserve"> </w:t>
      </w:r>
      <w:r>
        <w:t>reforms</w:t>
      </w:r>
      <w:r w:rsidR="00CC17B0">
        <w:t xml:space="preserve"> </w:t>
      </w:r>
      <w:r w:rsidR="00CF30C5">
        <w:t>resulting from the</w:t>
      </w:r>
      <w:r w:rsidR="00CC17B0">
        <w:t xml:space="preserve"> Royal Commission</w:t>
      </w:r>
      <w:r>
        <w:t xml:space="preserve"> that will affect and influence our work over the </w:t>
      </w:r>
      <w:r w:rsidR="00427979">
        <w:t xml:space="preserve">4-year period of this plan include the </w:t>
      </w:r>
      <w:r w:rsidR="000D6DB9">
        <w:t xml:space="preserve">government’s delivery of </w:t>
      </w:r>
      <w:r w:rsidR="00427979">
        <w:t>a</w:t>
      </w:r>
      <w:r w:rsidR="00017867">
        <w:t xml:space="preserve"> new</w:t>
      </w:r>
      <w:r w:rsidR="00177AA8" w:rsidRPr="00154C4A">
        <w:t xml:space="preserve"> Aged Care Act, </w:t>
      </w:r>
      <w:r w:rsidR="007032B9">
        <w:t xml:space="preserve">a </w:t>
      </w:r>
      <w:r w:rsidR="005F0925">
        <w:t>new Support at Home program</w:t>
      </w:r>
      <w:r w:rsidR="000D6DB9">
        <w:t>, and response</w:t>
      </w:r>
      <w:r w:rsidR="007032B9">
        <w:t>s</w:t>
      </w:r>
      <w:r w:rsidR="000D6DB9">
        <w:t xml:space="preserve"> </w:t>
      </w:r>
      <w:r w:rsidR="00177AA8" w:rsidRPr="00154C4A">
        <w:t xml:space="preserve">to the </w:t>
      </w:r>
      <w:r w:rsidR="00004DDA" w:rsidRPr="00154C4A">
        <w:t xml:space="preserve">recommendations of the Aged Care </w:t>
      </w:r>
      <w:r w:rsidR="00177AA8" w:rsidRPr="00154C4A">
        <w:t>Taskforce</w:t>
      </w:r>
      <w:r w:rsidR="00004DDA" w:rsidRPr="00154C4A">
        <w:t xml:space="preserve">. With </w:t>
      </w:r>
      <w:r w:rsidR="000D6DB9">
        <w:t>those factors</w:t>
      </w:r>
      <w:r w:rsidR="00004DDA" w:rsidRPr="00154C4A">
        <w:t xml:space="preserve"> in mind, </w:t>
      </w:r>
      <w:r w:rsidR="00A17409">
        <w:t xml:space="preserve">we will </w:t>
      </w:r>
      <w:r w:rsidR="00A17409" w:rsidRPr="00154C4A">
        <w:t xml:space="preserve">continue to monitor developments </w:t>
      </w:r>
      <w:r w:rsidR="00B424FB">
        <w:t xml:space="preserve">and </w:t>
      </w:r>
      <w:r w:rsidR="0084571F">
        <w:t xml:space="preserve">remain engaged, </w:t>
      </w:r>
      <w:r w:rsidR="001377F4">
        <w:t>adaptive,</w:t>
      </w:r>
      <w:r w:rsidR="0084571F">
        <w:t xml:space="preserve"> and dynamic</w:t>
      </w:r>
      <w:r w:rsidR="00A17409">
        <w:t xml:space="preserve"> to bring about </w:t>
      </w:r>
      <w:r w:rsidR="00B914EA">
        <w:t xml:space="preserve">positive </w:t>
      </w:r>
      <w:r w:rsidR="00A17409">
        <w:t>chang</w:t>
      </w:r>
      <w:r w:rsidR="007A03E2">
        <w:t>e</w:t>
      </w:r>
      <w:r w:rsidR="00A17409">
        <w:t xml:space="preserve"> to the aged care system</w:t>
      </w:r>
      <w:r w:rsidR="00A17409" w:rsidRPr="00E622E9">
        <w:t>.</w:t>
      </w:r>
      <w:r w:rsidR="00A17409">
        <w:t xml:space="preserve"> </w:t>
      </w:r>
    </w:p>
    <w:p w14:paraId="5EE8416B" w14:textId="4B137768" w:rsidR="00AF1FD4" w:rsidRDefault="00AF1FD4" w:rsidP="005D2CDE">
      <w:pPr>
        <w:pStyle w:val="Heading2"/>
      </w:pPr>
      <w:bookmarkStart w:id="17" w:name="_Toc152857330"/>
      <w:r>
        <w:t>Capability</w:t>
      </w:r>
      <w:bookmarkEnd w:id="17"/>
    </w:p>
    <w:p w14:paraId="3427E60D" w14:textId="68AB2BC9" w:rsidR="003A75B0" w:rsidRDefault="00E81B08" w:rsidP="00AF001D">
      <w:pPr>
        <w:pStyle w:val="Paragraphtext"/>
      </w:pPr>
      <w:r>
        <w:t xml:space="preserve">We seek </w:t>
      </w:r>
      <w:r w:rsidR="00546D5F">
        <w:t xml:space="preserve">to drive </w:t>
      </w:r>
      <w:r w:rsidR="00546D5F" w:rsidRPr="008C6739">
        <w:t xml:space="preserve">meaningful change across the aged care </w:t>
      </w:r>
      <w:r w:rsidR="00B914EA">
        <w:t>system</w:t>
      </w:r>
      <w:r w:rsidR="0004250A">
        <w:t xml:space="preserve">. </w:t>
      </w:r>
      <w:r w:rsidR="008101AE">
        <w:t>As a small agency with a broad remit</w:t>
      </w:r>
      <w:r w:rsidR="00EC08E5">
        <w:t xml:space="preserve">, </w:t>
      </w:r>
      <w:r w:rsidR="00575BF1">
        <w:t>we will</w:t>
      </w:r>
      <w:r w:rsidR="00EC08E5">
        <w:t xml:space="preserve"> use our available resources strategically and focus on key priorities to have maximum impact</w:t>
      </w:r>
      <w:r w:rsidR="003A75B0">
        <w:t xml:space="preserve"> and meet the high expectations</w:t>
      </w:r>
      <w:r w:rsidR="009A0F79">
        <w:t xml:space="preserve"> set for us </w:t>
      </w:r>
      <w:r w:rsidR="00715486">
        <w:t>as an independent oversight body</w:t>
      </w:r>
      <w:r w:rsidR="003A75B0">
        <w:t>.</w:t>
      </w:r>
      <w:r w:rsidR="00526919">
        <w:t xml:space="preserve"> </w:t>
      </w:r>
      <w:r w:rsidR="009A3D34">
        <w:t>W</w:t>
      </w:r>
      <w:r w:rsidR="00FC4EA9">
        <w:t>e will focus on building</w:t>
      </w:r>
      <w:r w:rsidR="00052463">
        <w:t xml:space="preserve"> and enhancing our workforce capability and</w:t>
      </w:r>
      <w:r w:rsidR="002A5933">
        <w:t xml:space="preserve"> developing</w:t>
      </w:r>
      <w:r w:rsidR="00052463">
        <w:t xml:space="preserve"> our technology</w:t>
      </w:r>
      <w:r w:rsidR="009A3D34">
        <w:t xml:space="preserve"> to successfully deliver on our purpose and outcome</w:t>
      </w:r>
      <w:r w:rsidR="00B878FC">
        <w:t>.</w:t>
      </w:r>
    </w:p>
    <w:p w14:paraId="14448DAC" w14:textId="721653D6" w:rsidR="00052463" w:rsidRDefault="00052463" w:rsidP="00B81944">
      <w:pPr>
        <w:pStyle w:val="Heading3"/>
      </w:pPr>
      <w:bookmarkStart w:id="18" w:name="_Toc152857331"/>
      <w:r>
        <w:t>Workforce</w:t>
      </w:r>
      <w:bookmarkEnd w:id="18"/>
    </w:p>
    <w:p w14:paraId="183F873F" w14:textId="6F08A8F8" w:rsidR="00D771D9" w:rsidRDefault="00E81B08" w:rsidP="00DB333C">
      <w:pPr>
        <w:pStyle w:val="Paragraphtext"/>
      </w:pPr>
      <w:r>
        <w:t xml:space="preserve">Our funding from the Australian Government for operating </w:t>
      </w:r>
      <w:r w:rsidR="00075A39">
        <w:t xml:space="preserve">and capital </w:t>
      </w:r>
      <w:r>
        <w:t xml:space="preserve">expenses </w:t>
      </w:r>
      <w:r w:rsidR="00984E23">
        <w:t>is</w:t>
      </w:r>
      <w:r>
        <w:t xml:space="preserve"> </w:t>
      </w:r>
      <w:r w:rsidR="0077141C">
        <w:t>$38</w:t>
      </w:r>
      <w:r w:rsidR="0077141C" w:rsidRPr="00075A39">
        <w:rPr>
          <w:sz w:val="24"/>
          <w:szCs w:val="28"/>
        </w:rPr>
        <w:t>.</w:t>
      </w:r>
      <w:r w:rsidR="0077141C">
        <w:t>7</w:t>
      </w:r>
      <w:r w:rsidR="00075A39">
        <w:t> </w:t>
      </w:r>
      <w:r w:rsidR="0077141C">
        <w:t xml:space="preserve">million over </w:t>
      </w:r>
      <w:r w:rsidR="004514F6">
        <w:t>four years</w:t>
      </w:r>
      <w:r w:rsidR="00BD626B">
        <w:t xml:space="preserve"> from 2022-23</w:t>
      </w:r>
      <w:r w:rsidR="00FF43DC">
        <w:t xml:space="preserve">. Our </w:t>
      </w:r>
      <w:r w:rsidR="007D4AD8">
        <w:t xml:space="preserve">staffing levels are </w:t>
      </w:r>
      <w:r w:rsidR="001C484E">
        <w:t>currently</w:t>
      </w:r>
      <w:r w:rsidR="00FF43DC">
        <w:t xml:space="preserve"> </w:t>
      </w:r>
      <w:r w:rsidR="00FF43DC" w:rsidRPr="00963E6D">
        <w:t>21</w:t>
      </w:r>
      <w:r w:rsidR="00FF43DC">
        <w:t xml:space="preserve"> full</w:t>
      </w:r>
      <w:r w:rsidR="00EB4EB1">
        <w:t>-</w:t>
      </w:r>
      <w:r w:rsidR="00FF43DC">
        <w:t>time equivalent positions</w:t>
      </w:r>
      <w:r w:rsidR="007D4AD8">
        <w:t xml:space="preserve"> over the four</w:t>
      </w:r>
      <w:r w:rsidR="00C85422">
        <w:t>-</w:t>
      </w:r>
      <w:r w:rsidR="007D4AD8">
        <w:t>year period of this plan</w:t>
      </w:r>
      <w:r w:rsidR="001D61F9">
        <w:t>, in addition to the Inspector-General</w:t>
      </w:r>
      <w:r w:rsidR="005A393F">
        <w:t>.</w:t>
      </w:r>
      <w:r w:rsidR="00915516" w:rsidRPr="00915516">
        <w:t xml:space="preserve"> </w:t>
      </w:r>
      <w:r w:rsidR="00C611B5" w:rsidRPr="00DB3C36">
        <w:t xml:space="preserve">Our staff are employed under the </w:t>
      </w:r>
      <w:r w:rsidR="00C611B5" w:rsidRPr="00DB3C36">
        <w:rPr>
          <w:i/>
          <w:iCs/>
        </w:rPr>
        <w:t xml:space="preserve">Public Service Act 1999, </w:t>
      </w:r>
      <w:r w:rsidR="00C611B5" w:rsidRPr="00DB3C36">
        <w:t>with terms and conditions set out in a section 24(1) Determination under this Act. During 2023-24 we are endeavouring to negotiate an enterprise agreement which will provide terms and conditions of employment moving forward.</w:t>
      </w:r>
    </w:p>
    <w:p w14:paraId="358A9A93" w14:textId="67990E92" w:rsidR="00D13105" w:rsidRDefault="00E47E12" w:rsidP="00E47E12">
      <w:pPr>
        <w:pStyle w:val="Heading3"/>
      </w:pPr>
      <w:bookmarkStart w:id="19" w:name="_Toc152857332"/>
      <w:r>
        <w:t>Organisational chart</w:t>
      </w:r>
      <w:bookmarkEnd w:id="19"/>
    </w:p>
    <w:p w14:paraId="66CD2027" w14:textId="2CB298F4" w:rsidR="00D771D9" w:rsidRDefault="00AF001D" w:rsidP="00FF43DC">
      <w:r>
        <w:rPr>
          <w:noProof/>
        </w:rPr>
        <w:drawing>
          <wp:inline distT="0" distB="0" distL="0" distR="0" wp14:anchorId="0D2353D7" wp14:editId="0921F3FC">
            <wp:extent cx="5581291" cy="2378710"/>
            <wp:effectExtent l="0" t="0" r="635" b="2540"/>
            <wp:docPr id="246" name="Picture 246" descr="Infographic of the organisational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Infographic of the organisational ch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74" cy="2393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D0FDA" w14:textId="5CC78203" w:rsidR="003E2AB7" w:rsidRDefault="001702B3" w:rsidP="00DB333C">
      <w:pPr>
        <w:pStyle w:val="Paragraphtext"/>
      </w:pPr>
      <w:r w:rsidRPr="00232596">
        <w:t>Our staffing profile comprises a mix of ongoing and non-ongoing employees, deployed flexibly to respond to business needs and priorities</w:t>
      </w:r>
      <w:r w:rsidR="00610FF0">
        <w:t xml:space="preserve">, with </w:t>
      </w:r>
      <w:r w:rsidR="00BA59A9">
        <w:t xml:space="preserve">experience and expertise in areas including </w:t>
      </w:r>
      <w:r w:rsidR="00BA59A9" w:rsidRPr="00512B16">
        <w:t>management, law, data and analytics, finance, systems management, communications</w:t>
      </w:r>
      <w:r w:rsidR="00D62522">
        <w:t>,</w:t>
      </w:r>
      <w:r w:rsidR="00BA59A9" w:rsidRPr="00512B16">
        <w:t xml:space="preserve"> and human resources. </w:t>
      </w:r>
      <w:r w:rsidR="00353C81">
        <w:t>While they each have specific roles and responsibilities, our</w:t>
      </w:r>
      <w:r w:rsidR="003E10BC">
        <w:t xml:space="preserve"> staff</w:t>
      </w:r>
      <w:r w:rsidR="001B125C">
        <w:t xml:space="preserve"> </w:t>
      </w:r>
      <w:r w:rsidR="006A1DEC">
        <w:t>remain</w:t>
      </w:r>
      <w:r w:rsidR="001B125C">
        <w:t xml:space="preserve"> </w:t>
      </w:r>
      <w:r w:rsidR="00C80225">
        <w:t>agile</w:t>
      </w:r>
      <w:r w:rsidR="001B125C">
        <w:t xml:space="preserve"> to meet the challenges of a dynamic work environment with simultaneous demands and variable priorities. By having our people work across teams, we can maximise </w:t>
      </w:r>
      <w:r w:rsidR="00F27ABE">
        <w:t xml:space="preserve">our </w:t>
      </w:r>
      <w:r w:rsidR="001B125C">
        <w:t>expertise</w:t>
      </w:r>
      <w:r w:rsidR="00C80225">
        <w:t xml:space="preserve">, </w:t>
      </w:r>
      <w:r w:rsidR="006D6E89">
        <w:t xml:space="preserve">build capability </w:t>
      </w:r>
      <w:r w:rsidR="001B125C">
        <w:t>and produce results that benefit the agency</w:t>
      </w:r>
      <w:r w:rsidR="00314C6D">
        <w:t xml:space="preserve"> and the public</w:t>
      </w:r>
      <w:r w:rsidR="001B125C">
        <w:t xml:space="preserve">. </w:t>
      </w:r>
      <w:r w:rsidR="00757294">
        <w:t xml:space="preserve">We will continue to direct efforts toward attracting and retaining </w:t>
      </w:r>
      <w:r w:rsidR="00867621">
        <w:t>capable</w:t>
      </w:r>
      <w:r w:rsidR="00757294">
        <w:t xml:space="preserve"> and high calibre staff</w:t>
      </w:r>
      <w:r w:rsidR="00E44C02">
        <w:t>, and to invest in the professional development</w:t>
      </w:r>
      <w:r w:rsidR="00DE3FA9">
        <w:t xml:space="preserve"> of our staff</w:t>
      </w:r>
      <w:r w:rsidR="00E44C02">
        <w:t>.</w:t>
      </w:r>
    </w:p>
    <w:p w14:paraId="1C1995AA" w14:textId="37106B34" w:rsidR="00982E14" w:rsidRDefault="00AC17CA" w:rsidP="00DB333C">
      <w:pPr>
        <w:pStyle w:val="Paragraphtext"/>
      </w:pPr>
      <w:r>
        <w:lastRenderedPageBreak/>
        <w:t>W</w:t>
      </w:r>
      <w:r w:rsidR="0092668E">
        <w:t xml:space="preserve">e </w:t>
      </w:r>
      <w:r w:rsidR="00B921B3">
        <w:t>will continue to refine ou</w:t>
      </w:r>
      <w:r w:rsidR="0092668E">
        <w:t>r organisational</w:t>
      </w:r>
      <w:r w:rsidR="00B921B3">
        <w:t xml:space="preserve"> structure as we establish our agency. </w:t>
      </w:r>
      <w:r w:rsidR="007242DD" w:rsidRPr="007242DD">
        <w:t xml:space="preserve">We </w:t>
      </w:r>
      <w:r w:rsidR="00A26105">
        <w:t>strive</w:t>
      </w:r>
      <w:r w:rsidR="003C0103">
        <w:t xml:space="preserve"> to</w:t>
      </w:r>
      <w:r w:rsidR="007242DD" w:rsidRPr="007242DD">
        <w:t xml:space="preserve"> create a diverse and inclusive workplace</w:t>
      </w:r>
      <w:r w:rsidR="00A26105">
        <w:t xml:space="preserve"> </w:t>
      </w:r>
      <w:r w:rsidR="001D581A">
        <w:t xml:space="preserve">with a </w:t>
      </w:r>
      <w:r w:rsidR="001D581A" w:rsidRPr="001D581A">
        <w:t xml:space="preserve">workforce </w:t>
      </w:r>
      <w:r w:rsidR="001D581A">
        <w:t>that</w:t>
      </w:r>
      <w:r w:rsidR="001D581A" w:rsidRPr="001D581A">
        <w:t xml:space="preserve"> represents and understands the needs of </w:t>
      </w:r>
      <w:r w:rsidR="00F234C4">
        <w:t xml:space="preserve">all </w:t>
      </w:r>
      <w:r w:rsidR="001D581A" w:rsidRPr="001D581A">
        <w:t>Australian</w:t>
      </w:r>
      <w:r w:rsidR="00E43B00">
        <w:t>s</w:t>
      </w:r>
      <w:r w:rsidR="006C3E39">
        <w:t xml:space="preserve">. </w:t>
      </w:r>
    </w:p>
    <w:p w14:paraId="404699D0" w14:textId="5D0F1A97" w:rsidR="00C634F0" w:rsidRPr="00780833" w:rsidRDefault="009832F1" w:rsidP="00C634F0">
      <w:pPr>
        <w:pStyle w:val="Paragraphtext"/>
      </w:pPr>
      <w:r w:rsidRPr="00780833">
        <w:t xml:space="preserve">In-line with the broader government approach towards Reconciliation, the </w:t>
      </w:r>
      <w:r w:rsidR="00982E14">
        <w:t>Office</w:t>
      </w:r>
      <w:r w:rsidRPr="00780833">
        <w:t xml:space="preserve"> will commence the development of its first Reconciliation Action Plan in 2024-25. The Reconciliation </w:t>
      </w:r>
      <w:r w:rsidR="008F1224">
        <w:t xml:space="preserve">Action </w:t>
      </w:r>
      <w:r w:rsidRPr="00780833">
        <w:t xml:space="preserve">Plan </w:t>
      </w:r>
      <w:r w:rsidR="00C634F0">
        <w:t>will form</w:t>
      </w:r>
      <w:r w:rsidR="00C634F0" w:rsidRPr="00780833">
        <w:t xml:space="preserve"> part of </w:t>
      </w:r>
      <w:r w:rsidR="00C634F0">
        <w:t>our overarching</w:t>
      </w:r>
      <w:r w:rsidR="00C634F0" w:rsidRPr="00780833">
        <w:t xml:space="preserve"> Diversity </w:t>
      </w:r>
      <w:r w:rsidR="00C634F0">
        <w:t>and</w:t>
      </w:r>
      <w:r w:rsidR="00C634F0" w:rsidRPr="00780833">
        <w:t xml:space="preserve"> Inclusion Strategy</w:t>
      </w:r>
      <w:r w:rsidR="00C634F0">
        <w:t xml:space="preserve"> also under development</w:t>
      </w:r>
      <w:r w:rsidR="00C634F0" w:rsidRPr="00780833">
        <w:t>.</w:t>
      </w:r>
    </w:p>
    <w:p w14:paraId="2CA680C0" w14:textId="0224EED9" w:rsidR="00F07863" w:rsidRPr="00F07863" w:rsidRDefault="00094D69" w:rsidP="00206C8D">
      <w:pPr>
        <w:pStyle w:val="Heading3"/>
      </w:pPr>
      <w:bookmarkStart w:id="20" w:name="_Toc152857333"/>
      <w:r>
        <w:t>Technology</w:t>
      </w:r>
      <w:bookmarkEnd w:id="20"/>
    </w:p>
    <w:p w14:paraId="1A65C0C9" w14:textId="3E8CF006" w:rsidR="005B3923" w:rsidRDefault="00030B9B" w:rsidP="00DB333C">
      <w:pPr>
        <w:pStyle w:val="Paragraphtext"/>
      </w:pPr>
      <w:r>
        <w:t>We are building</w:t>
      </w:r>
      <w:r w:rsidR="006A0F07">
        <w:t xml:space="preserve"> the Office</w:t>
      </w:r>
      <w:r w:rsidR="00C04351">
        <w:t xml:space="preserve">’s technological capacity to ensure we have </w:t>
      </w:r>
      <w:r w:rsidR="006A0F07">
        <w:t xml:space="preserve">robust, </w:t>
      </w:r>
      <w:r w:rsidR="007171FF">
        <w:t>reliable,</w:t>
      </w:r>
      <w:r w:rsidR="006A0F07">
        <w:t xml:space="preserve"> and effective </w:t>
      </w:r>
      <w:r w:rsidR="006F1EFC">
        <w:t>ICT services</w:t>
      </w:r>
      <w:r w:rsidR="00C04351">
        <w:t xml:space="preserve"> that </w:t>
      </w:r>
      <w:r w:rsidR="00C42091">
        <w:t>suit</w:t>
      </w:r>
      <w:r w:rsidR="00C04351">
        <w:t xml:space="preserve"> our </w:t>
      </w:r>
      <w:r w:rsidR="00AF412B">
        <w:t>requirements</w:t>
      </w:r>
      <w:r w:rsidR="00C04351">
        <w:t>.</w:t>
      </w:r>
      <w:r w:rsidR="00C42091">
        <w:t xml:space="preserve"> </w:t>
      </w:r>
      <w:r w:rsidR="007268E4">
        <w:t>This includes</w:t>
      </w:r>
      <w:r w:rsidR="005B3923">
        <w:t>:</w:t>
      </w:r>
    </w:p>
    <w:p w14:paraId="6064B8A0" w14:textId="7D5A0D1A" w:rsidR="007268E4" w:rsidRDefault="00B95D2C" w:rsidP="0039383B">
      <w:pPr>
        <w:pStyle w:val="ListBullet"/>
      </w:pPr>
      <w:r>
        <w:t xml:space="preserve">Customer Relationship Management (CRM) technology to manage our relationships and interactions with our </w:t>
      </w:r>
      <w:r w:rsidR="00761E8D">
        <w:t>stakeholders</w:t>
      </w:r>
    </w:p>
    <w:p w14:paraId="52F591FD" w14:textId="31EE7C24" w:rsidR="00683DB2" w:rsidRDefault="00683DB2" w:rsidP="0039383B">
      <w:pPr>
        <w:pStyle w:val="ListBullet"/>
      </w:pPr>
      <w:r w:rsidRPr="00683DB2">
        <w:t>a data warehouse to store our data so that it remains safe and protected</w:t>
      </w:r>
    </w:p>
    <w:p w14:paraId="251D33C4" w14:textId="77AC0D23" w:rsidR="00683DB2" w:rsidRDefault="00683DB2" w:rsidP="00683DB2">
      <w:pPr>
        <w:pStyle w:val="ListBullet"/>
      </w:pPr>
      <w:r w:rsidRPr="00683DB2">
        <w:t xml:space="preserve">developing data analytics capabilities with business intelligence tools to analyse and gain insights from the data we collect </w:t>
      </w:r>
    </w:p>
    <w:p w14:paraId="522C8E76" w14:textId="05944661" w:rsidR="00570619" w:rsidRDefault="00683DB2" w:rsidP="0039383B">
      <w:pPr>
        <w:pStyle w:val="ListBullet"/>
      </w:pPr>
      <w:r>
        <w:t>ensuring our</w:t>
      </w:r>
      <w:r w:rsidR="00F76281">
        <w:t xml:space="preserve"> cyber-security</w:t>
      </w:r>
      <w:r>
        <w:t xml:space="preserve"> arrangements are strong</w:t>
      </w:r>
      <w:r w:rsidR="007F3BBE">
        <w:t xml:space="preserve"> to protect our information.</w:t>
      </w:r>
    </w:p>
    <w:p w14:paraId="70D6A449" w14:textId="66691785" w:rsidR="00903BA2" w:rsidRDefault="005E584C" w:rsidP="00DB333C">
      <w:pPr>
        <w:pStyle w:val="Paragraphtext"/>
      </w:pPr>
      <w:r>
        <w:t xml:space="preserve">In designing our </w:t>
      </w:r>
      <w:r w:rsidR="00193588">
        <w:t xml:space="preserve">business </w:t>
      </w:r>
      <w:r>
        <w:t>systems, we are considering the needs of our staff and of o</w:t>
      </w:r>
      <w:r w:rsidR="0082748B">
        <w:t>ur audience</w:t>
      </w:r>
      <w:r w:rsidR="00A7615E" w:rsidRPr="00C42091">
        <w:t xml:space="preserve">. We will </w:t>
      </w:r>
      <w:r w:rsidR="008605D1">
        <w:t xml:space="preserve">continue to </w:t>
      </w:r>
      <w:r w:rsidR="00F84070">
        <w:t>balance our</w:t>
      </w:r>
      <w:r w:rsidR="008605D1">
        <w:t xml:space="preserve"> </w:t>
      </w:r>
      <w:r w:rsidR="00F84070">
        <w:t>intelligence approach with</w:t>
      </w:r>
      <w:r w:rsidR="008605D1">
        <w:t xml:space="preserve"> available</w:t>
      </w:r>
      <w:r w:rsidR="00F84070">
        <w:t xml:space="preserve"> </w:t>
      </w:r>
      <w:r w:rsidR="008E73B0">
        <w:t>resources</w:t>
      </w:r>
      <w:r w:rsidR="008605D1">
        <w:t>.</w:t>
      </w:r>
    </w:p>
    <w:p w14:paraId="7B224662" w14:textId="6CD1926D" w:rsidR="00903BA2" w:rsidRDefault="00903BA2" w:rsidP="0060578D">
      <w:pPr>
        <w:pStyle w:val="Heading2"/>
      </w:pPr>
      <w:bookmarkStart w:id="21" w:name="_Toc152857334"/>
      <w:r>
        <w:t>Our principles</w:t>
      </w:r>
      <w:bookmarkEnd w:id="21"/>
    </w:p>
    <w:p w14:paraId="41D42FF4" w14:textId="09CC3F62" w:rsidR="00A166B7" w:rsidRDefault="00903BA2" w:rsidP="00DB333C">
      <w:pPr>
        <w:pStyle w:val="Paragraphtext"/>
      </w:pPr>
      <w:r w:rsidRPr="00007173">
        <w:t>Our 6 guiding principles underpin our work. They influence how we conduct ourselves, how we operate, and how we achieve results.</w:t>
      </w:r>
    </w:p>
    <w:tbl>
      <w:tblPr>
        <w:tblStyle w:val="TableGrid"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061"/>
        <w:gridCol w:w="377"/>
        <w:gridCol w:w="1465"/>
        <w:gridCol w:w="3061"/>
      </w:tblGrid>
      <w:tr w:rsidR="006608FB" w14:paraId="30E10A29" w14:textId="77777777" w:rsidTr="00485798">
        <w:tc>
          <w:tcPr>
            <w:tcW w:w="1276" w:type="dxa"/>
            <w:shd w:val="clear" w:color="auto" w:fill="452669" w:themeFill="text2"/>
            <w:vAlign w:val="center"/>
          </w:tcPr>
          <w:p w14:paraId="7FEB3D85" w14:textId="64A1C4CD" w:rsidR="006608FB" w:rsidRDefault="006608FB" w:rsidP="00095827">
            <w:pPr>
              <w:jc w:val="center"/>
              <w:rPr>
                <w:noProof/>
              </w:rPr>
            </w:pPr>
            <w:r w:rsidRPr="0026796F"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2D07DE84" wp14:editId="6F3AFAC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781050" cy="842645"/>
                  <wp:effectExtent l="0" t="0" r="0" b="0"/>
                  <wp:wrapSquare wrapText="bothSides"/>
                  <wp:docPr id="15" name="Graphic 15" descr="User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91BC71-4CFC-3C86-50AD-AF5DB3CFFB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14" descr="Users outline">
                            <a:extLst>
                              <a:ext uri="{FF2B5EF4-FFF2-40B4-BE49-F238E27FC236}">
                                <a16:creationId xmlns:a16="http://schemas.microsoft.com/office/drawing/2014/main" id="{5291BC71-4CFC-3C86-50AD-AF5DB3CFFB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1" w:type="dxa"/>
            <w:shd w:val="clear" w:color="auto" w:fill="452669" w:themeFill="text2"/>
          </w:tcPr>
          <w:p w14:paraId="5EBB68B0" w14:textId="77777777" w:rsidR="006608FB" w:rsidRPr="00763017" w:rsidRDefault="006608FB" w:rsidP="00D07056">
            <w:pPr>
              <w:spacing w:before="120"/>
              <w:jc w:val="center"/>
              <w:rPr>
                <w:noProof/>
              </w:rPr>
            </w:pPr>
            <w:r w:rsidRPr="00763017">
              <w:rPr>
                <w:b/>
                <w:bCs/>
                <w:noProof/>
              </w:rPr>
              <w:t>People Centred</w:t>
            </w:r>
          </w:p>
          <w:p w14:paraId="7EA417E4" w14:textId="63292657" w:rsidR="006608FB" w:rsidRDefault="006608FB" w:rsidP="00D07056">
            <w:pPr>
              <w:spacing w:after="120"/>
              <w:jc w:val="center"/>
              <w:rPr>
                <w:noProof/>
              </w:rPr>
            </w:pPr>
            <w:r w:rsidRPr="00763017">
              <w:rPr>
                <w:noProof/>
              </w:rPr>
              <w:t>We put the interests of older people in Australia first. This helps to ensure the aged care system supports living well and healthy ageing.</w:t>
            </w:r>
          </w:p>
        </w:tc>
        <w:tc>
          <w:tcPr>
            <w:tcW w:w="377" w:type="dxa"/>
            <w:shd w:val="clear" w:color="auto" w:fill="452669" w:themeFill="text2"/>
          </w:tcPr>
          <w:p w14:paraId="33D11C2D" w14:textId="77777777" w:rsidR="006608FB" w:rsidRPr="00916CF5" w:rsidRDefault="006608FB" w:rsidP="003A1F45">
            <w:pPr>
              <w:jc w:val="center"/>
              <w:rPr>
                <w:noProof/>
              </w:rPr>
            </w:pPr>
          </w:p>
        </w:tc>
        <w:tc>
          <w:tcPr>
            <w:tcW w:w="1465" w:type="dxa"/>
            <w:shd w:val="clear" w:color="auto" w:fill="452669" w:themeFill="text2"/>
            <w:vAlign w:val="center"/>
          </w:tcPr>
          <w:p w14:paraId="78357A57" w14:textId="292CB965" w:rsidR="006608FB" w:rsidRDefault="006608FB" w:rsidP="003A1F45">
            <w:pPr>
              <w:jc w:val="center"/>
              <w:rPr>
                <w:noProof/>
              </w:rPr>
            </w:pPr>
            <w:r w:rsidRPr="00916CF5">
              <w:rPr>
                <w:noProof/>
              </w:rPr>
              <w:drawing>
                <wp:anchor distT="0" distB="0" distL="114300" distR="114300" simplePos="0" relativeHeight="251685376" behindDoc="0" locked="0" layoutInCell="1" allowOverlap="1" wp14:anchorId="561402F6" wp14:editId="5E91196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819150" cy="819150"/>
                  <wp:effectExtent l="0" t="0" r="0" b="0"/>
                  <wp:wrapSquare wrapText="bothSides"/>
                  <wp:docPr id="18" name="Graphic 18" descr="Cheer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5797C8-228E-6F28-E381-8D110573DA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11" descr="Cheers outline">
                            <a:extLst>
                              <a:ext uri="{FF2B5EF4-FFF2-40B4-BE49-F238E27FC236}">
                                <a16:creationId xmlns:a16="http://schemas.microsoft.com/office/drawing/2014/main" id="{455797C8-228E-6F28-E381-8D110573DA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1" w:type="dxa"/>
            <w:shd w:val="clear" w:color="auto" w:fill="452669" w:themeFill="text2"/>
            <w:vAlign w:val="center"/>
          </w:tcPr>
          <w:p w14:paraId="4CEF9C3C" w14:textId="77777777" w:rsidR="006608FB" w:rsidRPr="00BB7D71" w:rsidRDefault="006608FB" w:rsidP="006571DE">
            <w:pPr>
              <w:jc w:val="center"/>
              <w:rPr>
                <w:noProof/>
              </w:rPr>
            </w:pPr>
            <w:r w:rsidRPr="00BB7D71">
              <w:rPr>
                <w:b/>
                <w:bCs/>
                <w:noProof/>
              </w:rPr>
              <w:t>Inclusive</w:t>
            </w:r>
          </w:p>
          <w:p w14:paraId="36A346D4" w14:textId="7DFD0537" w:rsidR="006608FB" w:rsidRDefault="006608FB" w:rsidP="004C1AD9">
            <w:pPr>
              <w:jc w:val="center"/>
              <w:rPr>
                <w:noProof/>
              </w:rPr>
            </w:pPr>
            <w:r w:rsidRPr="00BB7D71">
              <w:rPr>
                <w:noProof/>
              </w:rPr>
              <w:t>We support equal access for all older people in Australia. We embrace their diverse backgrounds and life experiences.</w:t>
            </w:r>
          </w:p>
        </w:tc>
      </w:tr>
      <w:tr w:rsidR="006608FB" w14:paraId="0C9E4720" w14:textId="77777777" w:rsidTr="00485798">
        <w:tc>
          <w:tcPr>
            <w:tcW w:w="1276" w:type="dxa"/>
            <w:shd w:val="clear" w:color="auto" w:fill="EBE3F5"/>
            <w:vAlign w:val="center"/>
          </w:tcPr>
          <w:p w14:paraId="444F83E3" w14:textId="58DEA3D2" w:rsidR="006608FB" w:rsidRDefault="006608FB" w:rsidP="00095827">
            <w:pPr>
              <w:jc w:val="center"/>
              <w:rPr>
                <w:noProof/>
              </w:rPr>
            </w:pPr>
            <w:r w:rsidRPr="0026796F"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703F8AD9" wp14:editId="2D8D531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784225" cy="784225"/>
                  <wp:effectExtent l="0" t="0" r="0" b="0"/>
                  <wp:wrapSquare wrapText="bothSides"/>
                  <wp:docPr id="16" name="Graphic 16" descr="Checklis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3E9784-582A-00D7-F2EC-63C5B1F42A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732225998" descr="Checklist outline">
                            <a:extLst>
                              <a:ext uri="{FF2B5EF4-FFF2-40B4-BE49-F238E27FC236}">
                                <a16:creationId xmlns:a16="http://schemas.microsoft.com/office/drawing/2014/main" id="{AE3E9784-582A-00D7-F2EC-63C5B1F42A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1" w:type="dxa"/>
            <w:shd w:val="clear" w:color="auto" w:fill="EBE3F5"/>
          </w:tcPr>
          <w:p w14:paraId="620551CD" w14:textId="77777777" w:rsidR="006608FB" w:rsidRPr="00BB7D71" w:rsidRDefault="006608FB" w:rsidP="00D07056">
            <w:pPr>
              <w:spacing w:before="120"/>
              <w:jc w:val="center"/>
              <w:rPr>
                <w:noProof/>
                <w:color w:val="452669" w:themeColor="accent1"/>
              </w:rPr>
            </w:pPr>
            <w:r w:rsidRPr="00BB7D71">
              <w:rPr>
                <w:b/>
                <w:bCs/>
                <w:noProof/>
                <w:color w:val="452669" w:themeColor="accent1"/>
              </w:rPr>
              <w:t>Accountable</w:t>
            </w:r>
          </w:p>
          <w:p w14:paraId="39836FC3" w14:textId="01202109" w:rsidR="006608FB" w:rsidRDefault="006608FB" w:rsidP="00D07056">
            <w:pPr>
              <w:spacing w:after="120"/>
              <w:jc w:val="center"/>
              <w:rPr>
                <w:noProof/>
              </w:rPr>
            </w:pPr>
            <w:r w:rsidRPr="008434EB">
              <w:rPr>
                <w:noProof/>
                <w:color w:val="452669" w:themeColor="accent1"/>
              </w:rPr>
              <w:t>We hold government and regulatory bodies to account. We provide greater checks and balances on their performance, effectiveness, and outcomes</w:t>
            </w:r>
          </w:p>
        </w:tc>
        <w:tc>
          <w:tcPr>
            <w:tcW w:w="377" w:type="dxa"/>
            <w:shd w:val="clear" w:color="auto" w:fill="EBE3F5"/>
          </w:tcPr>
          <w:p w14:paraId="6CFBB290" w14:textId="77777777" w:rsidR="006608FB" w:rsidRPr="005D5E4F" w:rsidRDefault="006608FB" w:rsidP="003A1F45">
            <w:pPr>
              <w:jc w:val="center"/>
              <w:rPr>
                <w:noProof/>
              </w:rPr>
            </w:pPr>
          </w:p>
        </w:tc>
        <w:tc>
          <w:tcPr>
            <w:tcW w:w="1465" w:type="dxa"/>
            <w:shd w:val="clear" w:color="auto" w:fill="EBE3F5"/>
            <w:vAlign w:val="center"/>
          </w:tcPr>
          <w:p w14:paraId="02634C95" w14:textId="4F182978" w:rsidR="006608FB" w:rsidRDefault="006608FB" w:rsidP="003A1F45">
            <w:pPr>
              <w:jc w:val="center"/>
              <w:rPr>
                <w:noProof/>
              </w:rPr>
            </w:pPr>
            <w:r w:rsidRPr="005D5E4F">
              <w:rPr>
                <w:noProof/>
              </w:rPr>
              <w:drawing>
                <wp:anchor distT="0" distB="0" distL="114300" distR="114300" simplePos="0" relativeHeight="251686400" behindDoc="0" locked="0" layoutInCell="1" allowOverlap="1" wp14:anchorId="6269636C" wp14:editId="4E9BA35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854075" cy="854075"/>
                  <wp:effectExtent l="0" t="0" r="3175" b="0"/>
                  <wp:wrapSquare wrapText="bothSides"/>
                  <wp:docPr id="19" name="Graphic 19" descr="Target Audienc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683F1C-59EC-6790-715C-52D1F9543F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12" descr="Target Audience outline">
                            <a:extLst>
                              <a:ext uri="{FF2B5EF4-FFF2-40B4-BE49-F238E27FC236}">
                                <a16:creationId xmlns:a16="http://schemas.microsoft.com/office/drawing/2014/main" id="{D3683F1C-59EC-6790-715C-52D1F9543F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85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1" w:type="dxa"/>
            <w:shd w:val="clear" w:color="auto" w:fill="EBE3F5"/>
            <w:vAlign w:val="center"/>
          </w:tcPr>
          <w:p w14:paraId="7AC0609B" w14:textId="77777777" w:rsidR="006608FB" w:rsidRPr="00934420" w:rsidRDefault="006608FB" w:rsidP="006571DE">
            <w:pPr>
              <w:jc w:val="center"/>
              <w:rPr>
                <w:noProof/>
                <w:color w:val="452669" w:themeColor="accent1"/>
              </w:rPr>
            </w:pPr>
            <w:r w:rsidRPr="00934420">
              <w:rPr>
                <w:b/>
                <w:bCs/>
                <w:noProof/>
                <w:color w:val="452669" w:themeColor="accent1"/>
              </w:rPr>
              <w:t>Evidence Based</w:t>
            </w:r>
          </w:p>
          <w:p w14:paraId="367DA135" w14:textId="69976703" w:rsidR="006608FB" w:rsidRPr="004C1AD9" w:rsidRDefault="006608FB" w:rsidP="004C1AD9">
            <w:pPr>
              <w:jc w:val="center"/>
              <w:rPr>
                <w:noProof/>
                <w:color w:val="452669" w:themeColor="accent1"/>
              </w:rPr>
            </w:pPr>
            <w:r w:rsidRPr="00934420">
              <w:rPr>
                <w:noProof/>
                <w:color w:val="452669" w:themeColor="accent1"/>
              </w:rPr>
              <w:t>We use robust data and evidence to oversee the system, and call out areas where data is inadequate.</w:t>
            </w:r>
          </w:p>
        </w:tc>
      </w:tr>
      <w:tr w:rsidR="006608FB" w:rsidRPr="007271B0" w14:paraId="26D733B9" w14:textId="77777777" w:rsidTr="00485798">
        <w:tc>
          <w:tcPr>
            <w:tcW w:w="1276" w:type="dxa"/>
            <w:shd w:val="clear" w:color="auto" w:fill="452669" w:themeFill="text2"/>
            <w:vAlign w:val="center"/>
          </w:tcPr>
          <w:p w14:paraId="2F1B4B13" w14:textId="56953E9B" w:rsidR="006608FB" w:rsidRDefault="006608FB" w:rsidP="00095827">
            <w:pPr>
              <w:jc w:val="center"/>
              <w:rPr>
                <w:noProof/>
              </w:rPr>
            </w:pPr>
            <w:r w:rsidRPr="00916CF5">
              <w:rPr>
                <w:noProof/>
              </w:rPr>
              <w:drawing>
                <wp:anchor distT="0" distB="0" distL="114300" distR="114300" simplePos="0" relativeHeight="251684352" behindDoc="0" locked="0" layoutInCell="1" allowOverlap="1" wp14:anchorId="368F99D9" wp14:editId="6477331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84225" cy="784225"/>
                  <wp:effectExtent l="0" t="0" r="0" b="0"/>
                  <wp:wrapSquare wrapText="bothSides"/>
                  <wp:docPr id="17" name="Graphic 17" descr="Weights Uneven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BBE794-4781-CEB2-2AD1-DB43743992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10" descr="Weights Uneven outline">
                            <a:extLst>
                              <a:ext uri="{FF2B5EF4-FFF2-40B4-BE49-F238E27FC236}">
                                <a16:creationId xmlns:a16="http://schemas.microsoft.com/office/drawing/2014/main" id="{C5BBE794-4781-CEB2-2AD1-DB43743992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1" w:type="dxa"/>
            <w:shd w:val="clear" w:color="auto" w:fill="452669" w:themeFill="text2"/>
            <w:vAlign w:val="center"/>
          </w:tcPr>
          <w:p w14:paraId="472C528B" w14:textId="77777777" w:rsidR="006608FB" w:rsidRPr="00BB7D71" w:rsidRDefault="006608FB" w:rsidP="00D07056">
            <w:pPr>
              <w:spacing w:before="120"/>
              <w:jc w:val="center"/>
              <w:rPr>
                <w:b/>
                <w:bCs/>
                <w:noProof/>
              </w:rPr>
            </w:pPr>
            <w:r w:rsidRPr="00BB7D71">
              <w:rPr>
                <w:b/>
                <w:bCs/>
                <w:noProof/>
              </w:rPr>
              <w:t>Objective</w:t>
            </w:r>
          </w:p>
          <w:p w14:paraId="451BF770" w14:textId="1965B917" w:rsidR="006608FB" w:rsidRDefault="006608FB" w:rsidP="00D07056">
            <w:pPr>
              <w:spacing w:after="120"/>
              <w:jc w:val="center"/>
              <w:rPr>
                <w:noProof/>
              </w:rPr>
            </w:pPr>
            <w:r w:rsidRPr="00BB7D71">
              <w:rPr>
                <w:noProof/>
              </w:rPr>
              <w:t>Our findings and recommendations are fair and impartial. We are not compromised by prejudice, bias, conflict of interest, or undue influence of others.</w:t>
            </w:r>
          </w:p>
        </w:tc>
        <w:tc>
          <w:tcPr>
            <w:tcW w:w="377" w:type="dxa"/>
            <w:shd w:val="clear" w:color="auto" w:fill="452669" w:themeFill="text2"/>
          </w:tcPr>
          <w:p w14:paraId="05884078" w14:textId="77777777" w:rsidR="006608FB" w:rsidRPr="005D5E4F" w:rsidRDefault="006608FB" w:rsidP="003A1F45">
            <w:pPr>
              <w:jc w:val="center"/>
              <w:rPr>
                <w:noProof/>
              </w:rPr>
            </w:pPr>
          </w:p>
        </w:tc>
        <w:tc>
          <w:tcPr>
            <w:tcW w:w="1465" w:type="dxa"/>
            <w:shd w:val="clear" w:color="auto" w:fill="452669" w:themeFill="text2"/>
            <w:vAlign w:val="center"/>
          </w:tcPr>
          <w:p w14:paraId="5CF04DDD" w14:textId="23F1925A" w:rsidR="006608FB" w:rsidRDefault="006608FB" w:rsidP="003A1F45">
            <w:pPr>
              <w:jc w:val="center"/>
              <w:rPr>
                <w:noProof/>
              </w:rPr>
            </w:pPr>
            <w:r w:rsidRPr="005D5E4F">
              <w:rPr>
                <w:noProof/>
              </w:rPr>
              <w:drawing>
                <wp:anchor distT="0" distB="0" distL="114300" distR="114300" simplePos="0" relativeHeight="251682304" behindDoc="1" locked="0" layoutInCell="1" allowOverlap="1" wp14:anchorId="040CCB58" wp14:editId="6E36826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972820" cy="972820"/>
                  <wp:effectExtent l="0" t="0" r="0" b="0"/>
                  <wp:wrapSquare wrapText="bothSides"/>
                  <wp:docPr id="20" name="Graphic 20" descr="Clipboard Badg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0A1C26-2C3B-8C6E-C25D-1FDD7941FD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3" descr="Clipboard Badge outline">
                            <a:extLst>
                              <a:ext uri="{FF2B5EF4-FFF2-40B4-BE49-F238E27FC236}">
                                <a16:creationId xmlns:a16="http://schemas.microsoft.com/office/drawing/2014/main" id="{2F0A1C26-2C3B-8C6E-C25D-1FDD7941FD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1" w:type="dxa"/>
            <w:shd w:val="clear" w:color="auto" w:fill="452669" w:themeFill="text2"/>
            <w:vAlign w:val="center"/>
          </w:tcPr>
          <w:p w14:paraId="2D4F6716" w14:textId="77777777" w:rsidR="006608FB" w:rsidRPr="00934420" w:rsidRDefault="006608FB" w:rsidP="004C1AD9">
            <w:pPr>
              <w:jc w:val="center"/>
              <w:rPr>
                <w:b/>
                <w:bCs/>
                <w:noProof/>
              </w:rPr>
            </w:pPr>
            <w:r w:rsidRPr="00934420">
              <w:rPr>
                <w:b/>
                <w:bCs/>
                <w:noProof/>
              </w:rPr>
              <w:t>Excellence</w:t>
            </w:r>
          </w:p>
          <w:p w14:paraId="09E810BF" w14:textId="0B5A4EF0" w:rsidR="006608FB" w:rsidRDefault="006608FB" w:rsidP="004C1AD9">
            <w:pPr>
              <w:jc w:val="center"/>
              <w:rPr>
                <w:noProof/>
              </w:rPr>
            </w:pPr>
            <w:r w:rsidRPr="00934420">
              <w:rPr>
                <w:noProof/>
              </w:rPr>
              <w:t>We recognise and promote excellence in regulation and innovation. We aim to build public confidence in Australia’s aged care system.</w:t>
            </w:r>
          </w:p>
        </w:tc>
      </w:tr>
    </w:tbl>
    <w:p w14:paraId="7BB7FDD5" w14:textId="6A16578C" w:rsidR="00AF1FD4" w:rsidRPr="00661E0E" w:rsidRDefault="00AF1FD4" w:rsidP="005D682B">
      <w:pPr>
        <w:pStyle w:val="Heading2"/>
      </w:pPr>
      <w:bookmarkStart w:id="22" w:name="_Toc152857335"/>
      <w:r w:rsidRPr="00661E0E">
        <w:lastRenderedPageBreak/>
        <w:t>Risk</w:t>
      </w:r>
      <w:r w:rsidR="00A20EFD" w:rsidRPr="00661E0E">
        <w:t xml:space="preserve"> oversight</w:t>
      </w:r>
      <w:bookmarkEnd w:id="22"/>
    </w:p>
    <w:p w14:paraId="2B703CFD" w14:textId="13536497" w:rsidR="00A10437" w:rsidRDefault="00A10437" w:rsidP="008E73B0">
      <w:pPr>
        <w:pStyle w:val="Heading3"/>
      </w:pPr>
      <w:bookmarkStart w:id="23" w:name="_Toc152857336"/>
      <w:r w:rsidRPr="00D16EAD">
        <w:t>Oversight and assurance</w:t>
      </w:r>
      <w:bookmarkEnd w:id="23"/>
      <w:r w:rsidRPr="00D16EAD">
        <w:t xml:space="preserve"> </w:t>
      </w:r>
    </w:p>
    <w:p w14:paraId="1F4C236E" w14:textId="77777777" w:rsidR="00A10437" w:rsidRDefault="00A10437" w:rsidP="00DB333C">
      <w:pPr>
        <w:pStyle w:val="Paragraphtext"/>
      </w:pPr>
      <w:r w:rsidRPr="00D16EAD">
        <w:t xml:space="preserve">Our corporate governance framework </w:t>
      </w:r>
      <w:r>
        <w:t>will be</w:t>
      </w:r>
      <w:r w:rsidRPr="00D16EAD">
        <w:t xml:space="preserve"> critical to managing our strategic and operational activities to ensure we achieve our purpose and deliver on our objectives. </w:t>
      </w:r>
    </w:p>
    <w:p w14:paraId="436A0A1B" w14:textId="658F4C80" w:rsidR="00034B55" w:rsidRDefault="00034B55" w:rsidP="00DB333C">
      <w:pPr>
        <w:pStyle w:val="Paragraphtext"/>
      </w:pPr>
      <w:r>
        <w:t>Our</w:t>
      </w:r>
      <w:r w:rsidRPr="00D16EAD">
        <w:t xml:space="preserve"> independent Audit and Risk Committee </w:t>
      </w:r>
      <w:r>
        <w:t xml:space="preserve">is established and held its first meeting in November 2023. </w:t>
      </w:r>
      <w:r w:rsidR="004453BE">
        <w:t>Over</w:t>
      </w:r>
      <w:r>
        <w:t xml:space="preserve"> the remainder of 2023-24</w:t>
      </w:r>
      <w:r w:rsidR="004453BE">
        <w:t>,</w:t>
      </w:r>
      <w:r>
        <w:t xml:space="preserve"> we will </w:t>
      </w:r>
      <w:r w:rsidR="001D050F">
        <w:t xml:space="preserve">continue to </w:t>
      </w:r>
      <w:r>
        <w:t>finalise and embed our</w:t>
      </w:r>
      <w:r w:rsidRPr="00D16EAD">
        <w:t xml:space="preserve"> formal governance arrangements </w:t>
      </w:r>
      <w:r>
        <w:t xml:space="preserve">to </w:t>
      </w:r>
      <w:r w:rsidRPr="00D16EAD">
        <w:t>provide a clear structure and process</w:t>
      </w:r>
      <w:r>
        <w:t>es.</w:t>
      </w:r>
    </w:p>
    <w:p w14:paraId="5DA17BAB" w14:textId="45B6855D" w:rsidR="00AF412B" w:rsidRPr="002D3C93" w:rsidRDefault="00951B7C" w:rsidP="00B81944">
      <w:pPr>
        <w:pStyle w:val="Heading3"/>
      </w:pPr>
      <w:bookmarkStart w:id="24" w:name="_Toc152857337"/>
      <w:r w:rsidRPr="002D3C93">
        <w:t>Risk management</w:t>
      </w:r>
      <w:r w:rsidR="00AF412B" w:rsidRPr="00AF412B">
        <w:t xml:space="preserve"> </w:t>
      </w:r>
      <w:r w:rsidR="00AF412B">
        <w:t>and k</w:t>
      </w:r>
      <w:r w:rsidR="00AF412B" w:rsidRPr="002D3C93">
        <w:t>ey risks</w:t>
      </w:r>
      <w:bookmarkEnd w:id="24"/>
    </w:p>
    <w:p w14:paraId="4FD84EA4" w14:textId="5763674D" w:rsidR="00C634F0" w:rsidRDefault="00C634F0" w:rsidP="00C634F0">
      <w:pPr>
        <w:pStyle w:val="Paragraphtext"/>
      </w:pPr>
      <w:r w:rsidRPr="003B45F3">
        <w:t xml:space="preserve">Risk management will play a crucial role </w:t>
      </w:r>
      <w:r>
        <w:t>in shaping the strategic direction of the Office. We are working to establish a risk management framework which will encompass our risk management policies and a risk register, to help us to identify, respond to, and actively manage our key risks.</w:t>
      </w:r>
    </w:p>
    <w:p w14:paraId="153A46E6" w14:textId="77777777" w:rsidR="00C774A2" w:rsidRPr="00A2288C" w:rsidRDefault="00C774A2" w:rsidP="00C774A2">
      <w:pPr>
        <w:pStyle w:val="Paragraphtext"/>
      </w:pPr>
      <w:r w:rsidRPr="00A2288C">
        <w:t xml:space="preserve">As a new entity, </w:t>
      </w:r>
      <w:r>
        <w:t>our key corporate focus is on ensuring we</w:t>
      </w:r>
      <w:r w:rsidRPr="00A2288C">
        <w:t xml:space="preserve"> develop and embed </w:t>
      </w:r>
      <w:r>
        <w:t xml:space="preserve">an effective and fit-for-purpose governance framework which will enable </w:t>
      </w:r>
      <w:r w:rsidRPr="00A2288C">
        <w:t>consistent processes, appropriate oversight</w:t>
      </w:r>
      <w:r>
        <w:t>,</w:t>
      </w:r>
      <w:r w:rsidRPr="00A2288C">
        <w:t xml:space="preserve"> and suitable documentation across the organisation. </w:t>
      </w:r>
    </w:p>
    <w:p w14:paraId="77BEAEE8" w14:textId="347431FA" w:rsidR="00C774A2" w:rsidRDefault="00C774A2" w:rsidP="00C774A2">
      <w:pPr>
        <w:pStyle w:val="Paragraphtext"/>
      </w:pPr>
      <w:r>
        <w:t>Risk management is everybody’s responsibility, and we will continue to</w:t>
      </w:r>
      <w:r w:rsidRPr="00A2288C">
        <w:t xml:space="preserve"> encourage early engagement and open conversations about risk</w:t>
      </w:r>
      <w:r>
        <w:t>. We</w:t>
      </w:r>
      <w:r w:rsidRPr="00A2288C">
        <w:t xml:space="preserve"> see this as an essential factor in identifying and assessing emerging or new risks that may impact our business</w:t>
      </w:r>
      <w:r>
        <w:t>, and deciding how we mitigate and manage them.</w:t>
      </w:r>
    </w:p>
    <w:p w14:paraId="672DD454" w14:textId="577F917E" w:rsidR="00AF1FD4" w:rsidRPr="00A108F2" w:rsidRDefault="00AF1FD4" w:rsidP="00B81944">
      <w:pPr>
        <w:pStyle w:val="Heading3"/>
      </w:pPr>
      <w:bookmarkStart w:id="25" w:name="_Toc152857338"/>
      <w:r w:rsidRPr="00A108F2">
        <w:t>Cooperation</w:t>
      </w:r>
      <w:bookmarkEnd w:id="25"/>
    </w:p>
    <w:p w14:paraId="10C7A692" w14:textId="77777777" w:rsidR="009D6A01" w:rsidRDefault="00A724AA" w:rsidP="00DB333C">
      <w:pPr>
        <w:pStyle w:val="Paragraphtext"/>
      </w:pPr>
      <w:r w:rsidRPr="00215C96">
        <w:t>We operate with independence and impartiality</w:t>
      </w:r>
      <w:r w:rsidR="00CB5996" w:rsidRPr="00215C96">
        <w:t xml:space="preserve">, but </w:t>
      </w:r>
      <w:r w:rsidRPr="00215C96">
        <w:t xml:space="preserve">we do not work alone. </w:t>
      </w:r>
      <w:r w:rsidR="00CB5996" w:rsidRPr="00215C96">
        <w:t xml:space="preserve">We have built and will continue to build </w:t>
      </w:r>
      <w:r w:rsidR="00D955DC">
        <w:t>cooperative</w:t>
      </w:r>
      <w:r w:rsidR="00CB5996" w:rsidRPr="00215C96">
        <w:t xml:space="preserve"> </w:t>
      </w:r>
      <w:r w:rsidR="00DE0CB9" w:rsidRPr="00215C96">
        <w:t>working relationships with the agencies we oversee</w:t>
      </w:r>
      <w:r w:rsidR="009D6A01">
        <w:t>, particularly:</w:t>
      </w:r>
    </w:p>
    <w:p w14:paraId="2647D5FD" w14:textId="704A782A" w:rsidR="009D6A01" w:rsidRDefault="009D6A01" w:rsidP="0039383B">
      <w:pPr>
        <w:pStyle w:val="ListBullet"/>
      </w:pPr>
      <w:r>
        <w:t>Department of Health and Aged Care</w:t>
      </w:r>
    </w:p>
    <w:p w14:paraId="22037A9E" w14:textId="6A6DDB7D" w:rsidR="009D6A01" w:rsidRDefault="009D6A01" w:rsidP="0039383B">
      <w:pPr>
        <w:pStyle w:val="ListBullet"/>
      </w:pPr>
      <w:r>
        <w:t>Aged Care Quality and Safety Commission</w:t>
      </w:r>
    </w:p>
    <w:p w14:paraId="77C6A07A" w14:textId="45B45A0C" w:rsidR="009D6A01" w:rsidRDefault="009D6A01" w:rsidP="0039383B">
      <w:pPr>
        <w:pStyle w:val="ListBullet"/>
      </w:pPr>
      <w:r>
        <w:t>Independent Health and Aged Care Pricing Authority</w:t>
      </w:r>
    </w:p>
    <w:p w14:paraId="0F20B5C4" w14:textId="1E3449DD" w:rsidR="00D955DC" w:rsidRDefault="00D955DC" w:rsidP="00DB333C">
      <w:pPr>
        <w:pStyle w:val="Paragraphtext"/>
      </w:pPr>
      <w:r>
        <w:t>As a priority, we will establish Memoranda of Understanding with each of the</w:t>
      </w:r>
      <w:r w:rsidR="009D6A01">
        <w:t>se</w:t>
      </w:r>
      <w:r>
        <w:t xml:space="preserve"> entities to ensure we can</w:t>
      </w:r>
      <w:r w:rsidRPr="00215C96">
        <w:t xml:space="preserve"> access </w:t>
      </w:r>
      <w:r>
        <w:t xml:space="preserve">the information that we need to monitor and analyse performance of the </w:t>
      </w:r>
      <w:r w:rsidR="00D13E60">
        <w:t xml:space="preserve">aged care </w:t>
      </w:r>
      <w:r>
        <w:t>system.</w:t>
      </w:r>
      <w:r w:rsidRPr="006D38A5">
        <w:t xml:space="preserve"> </w:t>
      </w:r>
    </w:p>
    <w:p w14:paraId="66F37493" w14:textId="21C52380" w:rsidR="0054226A" w:rsidRDefault="000E2914" w:rsidP="00DB333C">
      <w:pPr>
        <w:pStyle w:val="Paragraphtext"/>
      </w:pPr>
      <w:r>
        <w:t>Our</w:t>
      </w:r>
      <w:r w:rsidR="00D13E60">
        <w:t xml:space="preserve"> Office will </w:t>
      </w:r>
      <w:r>
        <w:t xml:space="preserve">also </w:t>
      </w:r>
      <w:r w:rsidR="00D13E60">
        <w:t>continue to work with</w:t>
      </w:r>
      <w:r w:rsidR="00DE0CB9" w:rsidRPr="00215C96">
        <w:t xml:space="preserve"> </w:t>
      </w:r>
      <w:r w:rsidR="00D13E60">
        <w:t>older people, their carers, families, providers, the aged care workforce,</w:t>
      </w:r>
      <w:r w:rsidR="00761E8D">
        <w:t xml:space="preserve"> researchers,</w:t>
      </w:r>
      <w:r w:rsidR="00D13E60">
        <w:t xml:space="preserve"> and peak representative bodies</w:t>
      </w:r>
      <w:r w:rsidR="00D5760A">
        <w:t>,</w:t>
      </w:r>
      <w:r w:rsidR="00D13E60" w:rsidRPr="00215C96">
        <w:t xml:space="preserve"> </w:t>
      </w:r>
      <w:r w:rsidR="00730458">
        <w:t>to</w:t>
      </w:r>
      <w:r w:rsidR="00730458" w:rsidRPr="00215C96">
        <w:t xml:space="preserve"> </w:t>
      </w:r>
      <w:r w:rsidR="005E147B">
        <w:t>identify issues in the aged care system and to improve awareness of our Office</w:t>
      </w:r>
      <w:r w:rsidR="004E0149">
        <w:t>.</w:t>
      </w:r>
      <w:r w:rsidR="008712C9">
        <w:t xml:space="preserve"> </w:t>
      </w:r>
      <w:r w:rsidR="00575218">
        <w:t xml:space="preserve">We have established a Consultative Committee comprised of consumer, provider and workforce representatives </w:t>
      </w:r>
      <w:r w:rsidR="00431438">
        <w:t xml:space="preserve">that provides a regular forum for the exchange of ideas. We will seek opportunities to </w:t>
      </w:r>
      <w:r w:rsidR="00EC437A">
        <w:t xml:space="preserve">engage more broadly and </w:t>
      </w:r>
      <w:r w:rsidR="00431438">
        <w:t>focus our resources to ensure we reach our target audiences effectively</w:t>
      </w:r>
      <w:r w:rsidR="0054226A" w:rsidRPr="00D974EC">
        <w:t>.</w:t>
      </w:r>
    </w:p>
    <w:p w14:paraId="7777C697" w14:textId="77777777" w:rsidR="00F11B87" w:rsidRDefault="00F11B87" w:rsidP="00172F80">
      <w:pPr>
        <w:pStyle w:val="Heading1"/>
      </w:pPr>
      <w:bookmarkStart w:id="26" w:name="_Hlk149908263"/>
      <w:r>
        <w:br w:type="page"/>
      </w:r>
    </w:p>
    <w:p w14:paraId="0A905CFD" w14:textId="29E2A8F0" w:rsidR="00172F80" w:rsidRDefault="00172F80" w:rsidP="00172F80">
      <w:pPr>
        <w:pStyle w:val="Heading1"/>
      </w:pPr>
      <w:bookmarkStart w:id="27" w:name="_Toc152857339"/>
      <w:r>
        <w:lastRenderedPageBreak/>
        <w:t>Performance</w:t>
      </w:r>
      <w:bookmarkEnd w:id="27"/>
    </w:p>
    <w:p w14:paraId="5F4C13CD" w14:textId="58A419D7" w:rsidR="00172F80" w:rsidRDefault="00172F80" w:rsidP="00172F80">
      <w:pPr>
        <w:pStyle w:val="Heading2"/>
      </w:pPr>
      <w:bookmarkStart w:id="28" w:name="_Toc152857340"/>
      <w:r>
        <w:t>Our objective</w:t>
      </w:r>
      <w:bookmarkEnd w:id="28"/>
    </w:p>
    <w:p w14:paraId="04A07AAA" w14:textId="77777777" w:rsidR="00172F80" w:rsidRDefault="00172F80" w:rsidP="00172F80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8E8169" wp14:editId="65275D2C">
                <wp:simplePos x="0" y="0"/>
                <wp:positionH relativeFrom="column">
                  <wp:align>center</wp:align>
                </wp:positionH>
                <wp:positionV relativeFrom="paragraph">
                  <wp:posOffset>291465</wp:posOffset>
                </wp:positionV>
                <wp:extent cx="5989955" cy="971550"/>
                <wp:effectExtent l="0" t="0" r="10795" b="1905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955" cy="9715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BA304" w14:textId="77777777" w:rsidR="00172F80" w:rsidRPr="0093323E" w:rsidRDefault="00172F80" w:rsidP="00DB333C">
                            <w:pPr>
                              <w:pStyle w:val="IntroPara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 w:rsidRPr="0093323E">
                              <w:rPr>
                                <w:color w:val="FFFFFF" w:themeColor="background1"/>
                              </w:rPr>
                              <w:t>Provide independent oversight of the aged care system to drive accountability and positive change through reviews, recommendations, and reporting to Parliament.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E8169" id="Rectangle 3" o:spid="_x0000_s1026" style="position:absolute;margin-left:0;margin-top:22.95pt;width:471.65pt;height:76.5pt;z-index:2516730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" fillcolor="#59237b [3205]" strokecolor="white [3212]" strokeweight="1pt">
                <v:textbox>
                  <w:txbxContent>
                    <w:p w14:paraId="79CBA304" w14:textId="77777777" w:rsidR="00172F80" w:rsidRPr="0093323E" w:rsidRDefault="00172F80" w:rsidP="00DB333C">
                      <w:pPr>
                        <w:pStyle w:val="IntroPara"/>
                        <w:spacing w:before="120"/>
                        <w:rPr>
                          <w:color w:val="FFFFFF" w:themeColor="background1"/>
                        </w:rPr>
                      </w:pPr>
                      <w:r w:rsidRPr="0093323E">
                        <w:rPr>
                          <w:color w:val="FFFFFF" w:themeColor="background1"/>
                        </w:rPr>
                        <w:t>Provide independent oversight of the aged care system to drive accountability and positive change through reviews, recommendations, and reporting to Parliament.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t xml:space="preserve">The </w:t>
      </w:r>
      <w:r w:rsidRPr="00651804">
        <w:rPr>
          <w:b/>
          <w:bCs/>
        </w:rPr>
        <w:t>outcome objective</w:t>
      </w:r>
      <w:r>
        <w:t xml:space="preserve"> that our overall performance will be assessed against is:</w:t>
      </w:r>
    </w:p>
    <w:p w14:paraId="117422D0" w14:textId="77777777" w:rsidR="00FA444B" w:rsidRDefault="00FA444B" w:rsidP="00B81944">
      <w:pPr>
        <w:pStyle w:val="Heading3"/>
      </w:pPr>
      <w:bookmarkStart w:id="29" w:name="_Toc152857341"/>
      <w:r>
        <w:t>How will we measure our performance?</w:t>
      </w:r>
      <w:bookmarkEnd w:id="29"/>
    </w:p>
    <w:p w14:paraId="6D018D9E" w14:textId="68C77292" w:rsidR="00551D21" w:rsidRDefault="00C623DF" w:rsidP="00DB333C">
      <w:pPr>
        <w:pStyle w:val="Paragraphtext"/>
      </w:pPr>
      <w:r w:rsidRPr="001A683F">
        <w:t>As noted throughout this plan, we are in the early stages of establishment</w:t>
      </w:r>
      <w:r w:rsidR="00880089">
        <w:t xml:space="preserve"> and</w:t>
      </w:r>
      <w:r w:rsidR="0036335E">
        <w:t xml:space="preserve"> as such, our</w:t>
      </w:r>
      <w:r w:rsidRPr="001A683F">
        <w:t xml:space="preserve"> agency objectives are unique for 2023-24. We have developed a set of interim performance measures that centre around establishing our accountability and governance frameworks and commencing our oversight role. </w:t>
      </w:r>
    </w:p>
    <w:p w14:paraId="0CB5FD67" w14:textId="020AB13A" w:rsidR="00C623DF" w:rsidRPr="0039383B" w:rsidRDefault="00BA1780" w:rsidP="002276BD">
      <w:pPr>
        <w:pStyle w:val="Paragraphtext"/>
      </w:pPr>
      <w:r w:rsidRPr="000F779C">
        <w:t>We will continue to refine and build on these</w:t>
      </w:r>
      <w:r w:rsidR="00C623DF" w:rsidRPr="000F779C">
        <w:t xml:space="preserve"> performance measures in </w:t>
      </w:r>
      <w:r w:rsidRPr="000F779C">
        <w:t>our</w:t>
      </w:r>
      <w:r w:rsidR="00C623DF" w:rsidRPr="000F779C">
        <w:t xml:space="preserve"> 2024-25 plan and beyond, which is when we expect to include more focus on </w:t>
      </w:r>
      <w:r w:rsidR="002276BD" w:rsidRPr="000F779C">
        <w:t xml:space="preserve">measuring our effectiveness in delivering on our purpose to provide independent oversight of the aged care </w:t>
      </w:r>
      <w:r w:rsidR="000F779C" w:rsidRPr="000F779C">
        <w:t>system</w:t>
      </w:r>
      <w:r w:rsidR="000F779C">
        <w:t xml:space="preserve"> to drive accountability and positive change</w:t>
      </w:r>
      <w:r w:rsidR="002276BD" w:rsidRPr="000F779C">
        <w:t>.</w:t>
      </w:r>
    </w:p>
    <w:p w14:paraId="78F410F7" w14:textId="4BFD0D11" w:rsidR="00551D21" w:rsidRPr="00B44E85" w:rsidRDefault="00551D21" w:rsidP="00DB333C">
      <w:pPr>
        <w:pStyle w:val="Paragraphtext"/>
      </w:pPr>
      <w:r w:rsidRPr="00B44E85">
        <w:t xml:space="preserve">To deliver on our outcome we </w:t>
      </w:r>
      <w:r w:rsidR="00B44E85" w:rsidRPr="00B44E85">
        <w:t xml:space="preserve">have </w:t>
      </w:r>
      <w:r w:rsidR="00B44E85" w:rsidRPr="00B44E85">
        <w:rPr>
          <w:b/>
          <w:bCs/>
        </w:rPr>
        <w:t>two strategic objectives</w:t>
      </w:r>
      <w:r w:rsidRPr="00B44E85">
        <w:t>:</w:t>
      </w:r>
    </w:p>
    <w:p w14:paraId="463BDCB3" w14:textId="77777777" w:rsidR="00551D21" w:rsidRPr="0093323E" w:rsidRDefault="00551D21" w:rsidP="0093323E">
      <w:pPr>
        <w:pStyle w:val="Paragraphtext"/>
        <w:numPr>
          <w:ilvl w:val="0"/>
          <w:numId w:val="27"/>
        </w:numPr>
        <w:pBdr>
          <w:top w:val="single" w:sz="4" w:space="6" w:color="421A5C" w:themeColor="accent2" w:themeShade="BF"/>
          <w:left w:val="single" w:sz="4" w:space="4" w:color="421A5C" w:themeColor="accent2" w:themeShade="BF"/>
          <w:bottom w:val="single" w:sz="4" w:space="6" w:color="421A5C" w:themeColor="accent2" w:themeShade="BF"/>
          <w:right w:val="single" w:sz="4" w:space="4" w:color="421A5C" w:themeColor="accent2" w:themeShade="BF"/>
        </w:pBdr>
        <w:shd w:val="clear" w:color="auto" w:fill="E0C7EF" w:themeFill="accent2" w:themeFillTint="33"/>
        <w:spacing w:before="240"/>
        <w:ind w:left="357" w:hanging="357"/>
        <w:rPr>
          <w:b/>
          <w:bCs/>
          <w:sz w:val="24"/>
          <w:lang w:eastAsia="en-AU"/>
        </w:rPr>
      </w:pPr>
      <w:r w:rsidRPr="0093323E">
        <w:rPr>
          <w:b/>
          <w:bCs/>
          <w:sz w:val="24"/>
          <w:lang w:eastAsia="en-AU"/>
        </w:rPr>
        <w:t>Establish the Office’s accountability and governance frameworks as soon as possible and no later than 30 June 2024.</w:t>
      </w:r>
    </w:p>
    <w:p w14:paraId="2AE6F28F" w14:textId="018E9A5E" w:rsidR="00551D21" w:rsidRPr="0093323E" w:rsidRDefault="00551D21" w:rsidP="0093323E">
      <w:pPr>
        <w:pStyle w:val="Paragraphtext"/>
        <w:numPr>
          <w:ilvl w:val="0"/>
          <w:numId w:val="27"/>
        </w:numPr>
        <w:pBdr>
          <w:top w:val="single" w:sz="4" w:space="6" w:color="421A5C" w:themeColor="accent2" w:themeShade="BF"/>
          <w:left w:val="single" w:sz="4" w:space="4" w:color="421A5C" w:themeColor="accent2" w:themeShade="BF"/>
          <w:bottom w:val="single" w:sz="4" w:space="6" w:color="421A5C" w:themeColor="accent2" w:themeShade="BF"/>
          <w:right w:val="single" w:sz="4" w:space="4" w:color="421A5C" w:themeColor="accent2" w:themeShade="BF"/>
        </w:pBdr>
        <w:shd w:val="clear" w:color="auto" w:fill="E0C7EF" w:themeFill="accent2" w:themeFillTint="33"/>
        <w:rPr>
          <w:b/>
          <w:bCs/>
          <w:sz w:val="24"/>
          <w:lang w:eastAsia="en-AU"/>
        </w:rPr>
      </w:pPr>
      <w:r w:rsidRPr="0093323E">
        <w:rPr>
          <w:b/>
          <w:bCs/>
          <w:sz w:val="24"/>
          <w:lang w:eastAsia="en-AU"/>
        </w:rPr>
        <w:t>Commence independent oversight of the Commonwealth’s administration of the aged care system.</w:t>
      </w:r>
    </w:p>
    <w:p w14:paraId="7071DB85" w14:textId="5EA5DA1D" w:rsidR="00551D21" w:rsidRDefault="00EB6B51" w:rsidP="00723097">
      <w:pPr>
        <w:pStyle w:val="Paragraphtext"/>
      </w:pPr>
      <w:r>
        <w:t>The table below outlines how the Office will measure its performance in 2023-24 against it</w:t>
      </w:r>
      <w:r w:rsidR="0039383B">
        <w:t>s strategic objectives.</w:t>
      </w:r>
    </w:p>
    <w:p w14:paraId="31B0710B" w14:textId="77777777" w:rsidR="005A45BA" w:rsidRDefault="005A45BA">
      <w:pPr>
        <w:spacing w:after="160" w:line="259" w:lineRule="auto"/>
        <w:rPr>
          <w:rFonts w:cs="Arial"/>
          <w:color w:val="77226C"/>
          <w:sz w:val="32"/>
          <w:szCs w:val="36"/>
        </w:rPr>
      </w:pPr>
      <w:r>
        <w:br w:type="page"/>
      </w:r>
    </w:p>
    <w:p w14:paraId="447873CC" w14:textId="466BD3FD" w:rsidR="00351F00" w:rsidRPr="00A04711" w:rsidRDefault="00351F00" w:rsidP="00551D21">
      <w:pPr>
        <w:pStyle w:val="Heading2"/>
      </w:pPr>
      <w:bookmarkStart w:id="30" w:name="_Toc152857342"/>
      <w:r w:rsidRPr="00A04711">
        <w:lastRenderedPageBreak/>
        <w:t>Interim</w:t>
      </w:r>
      <w:r w:rsidR="00E62752">
        <w:t xml:space="preserve"> performance</w:t>
      </w:r>
      <w:r w:rsidRPr="00A04711">
        <w:t xml:space="preserve"> measures for 2023-24</w:t>
      </w:r>
      <w:bookmarkEnd w:id="30"/>
    </w:p>
    <w:tbl>
      <w:tblPr>
        <w:tblStyle w:val="TableGrid"/>
        <w:tblW w:w="8931" w:type="dxa"/>
        <w:tblInd w:w="-5" w:type="dxa"/>
        <w:tblBorders>
          <w:top w:val="single" w:sz="4" w:space="0" w:color="2C113D" w:themeColor="accent2" w:themeShade="80"/>
          <w:left w:val="single" w:sz="4" w:space="0" w:color="2C113D" w:themeColor="accent2" w:themeShade="80"/>
          <w:bottom w:val="single" w:sz="4" w:space="0" w:color="2C113D" w:themeColor="accent2" w:themeShade="80"/>
          <w:right w:val="single" w:sz="4" w:space="0" w:color="2C113D" w:themeColor="accen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5993"/>
        <w:gridCol w:w="2410"/>
      </w:tblGrid>
      <w:tr w:rsidR="00FB7FFB" w:rsidRPr="0004340A" w14:paraId="45B57344" w14:textId="77777777" w:rsidTr="00BE497B">
        <w:trPr>
          <w:trHeight w:val="454"/>
        </w:trPr>
        <w:tc>
          <w:tcPr>
            <w:tcW w:w="6521" w:type="dxa"/>
            <w:gridSpan w:val="2"/>
            <w:tcBorders>
              <w:top w:val="single" w:sz="4" w:space="0" w:color="2C113D" w:themeColor="accent2" w:themeShade="80"/>
              <w:bottom w:val="nil"/>
              <w:right w:val="nil"/>
            </w:tcBorders>
            <w:shd w:val="clear" w:color="auto" w:fill="2C113D" w:themeFill="accent2" w:themeFillShade="80"/>
            <w:vAlign w:val="center"/>
          </w:tcPr>
          <w:p w14:paraId="539F7E43" w14:textId="6A1E82C6" w:rsidR="00FB7FFB" w:rsidRPr="0004340A" w:rsidRDefault="00761BAE" w:rsidP="001C72C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  <w:r w:rsidR="00FB7FFB" w:rsidRPr="0004340A">
              <w:rPr>
                <w:b/>
                <w:bCs/>
                <w:color w:val="FFFFFF" w:themeColor="background1"/>
                <w:sz w:val="28"/>
                <w:szCs w:val="28"/>
              </w:rPr>
              <w:t xml:space="preserve">Key performance </w:t>
            </w:r>
            <w:r w:rsidR="00FB7FFB">
              <w:rPr>
                <w:b/>
                <w:bCs/>
                <w:color w:val="FFFFFF" w:themeColor="background1"/>
                <w:sz w:val="28"/>
                <w:szCs w:val="28"/>
              </w:rPr>
              <w:t>measure</w:t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nil"/>
              <w:bottom w:val="nil"/>
            </w:tcBorders>
            <w:shd w:val="clear" w:color="auto" w:fill="2C113D" w:themeFill="accent2" w:themeFillShade="80"/>
          </w:tcPr>
          <w:p w14:paraId="28BBBFAF" w14:textId="2042CEFD" w:rsidR="00FB7FFB" w:rsidRPr="00DE4466" w:rsidRDefault="00FB7FFB" w:rsidP="00761BAE">
            <w:pPr>
              <w:ind w:right="-22"/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Target</w:t>
            </w:r>
          </w:p>
        </w:tc>
      </w:tr>
      <w:tr w:rsidR="00FB7FFB" w:rsidRPr="0004340A" w14:paraId="7E143327" w14:textId="77777777" w:rsidTr="00551D21">
        <w:trPr>
          <w:trHeight w:val="454"/>
        </w:trPr>
        <w:tc>
          <w:tcPr>
            <w:tcW w:w="528" w:type="dxa"/>
            <w:tcBorders>
              <w:top w:val="nil"/>
              <w:bottom w:val="single" w:sz="4" w:space="0" w:color="2C113D" w:themeColor="accent2" w:themeShade="80"/>
            </w:tcBorders>
            <w:shd w:val="clear" w:color="auto" w:fill="2C113D" w:themeFill="accent2" w:themeFillShade="80"/>
            <w:vAlign w:val="center"/>
          </w:tcPr>
          <w:p w14:paraId="5D13D79C" w14:textId="77777777" w:rsidR="00FB7FFB" w:rsidRPr="0004340A" w:rsidRDefault="00FB7FFB" w:rsidP="001C72CB">
            <w:pPr>
              <w:pStyle w:val="ListParagraph"/>
              <w:spacing w:after="12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403" w:type="dxa"/>
            <w:gridSpan w:val="2"/>
            <w:tcBorders>
              <w:top w:val="nil"/>
              <w:bottom w:val="single" w:sz="4" w:space="0" w:color="2C113D" w:themeColor="accent2" w:themeShade="80"/>
            </w:tcBorders>
            <w:shd w:val="clear" w:color="auto" w:fill="E0C7EF" w:themeFill="accent2" w:themeFillTint="33"/>
            <w:vAlign w:val="center"/>
          </w:tcPr>
          <w:p w14:paraId="5D4368B1" w14:textId="43196F90" w:rsidR="00FB7FFB" w:rsidRPr="00141DCF" w:rsidRDefault="00EC6B95" w:rsidP="001C72CB">
            <w:pPr>
              <w:pStyle w:val="ListParagraph"/>
              <w:spacing w:after="120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Establish accountability and governance frameworks by 30</w:t>
            </w:r>
            <w:r w:rsidR="00E35FC5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June</w:t>
            </w:r>
            <w:r w:rsidR="00E35FC5">
              <w:rPr>
                <w:b/>
                <w:bCs/>
                <w:sz w:val="26"/>
                <w:szCs w:val="26"/>
              </w:rPr>
              <w:t> </w:t>
            </w:r>
            <w:r w:rsidR="009E60E6">
              <w:rPr>
                <w:b/>
                <w:bCs/>
                <w:sz w:val="26"/>
                <w:szCs w:val="26"/>
              </w:rPr>
              <w:t>2024</w:t>
            </w:r>
          </w:p>
        </w:tc>
      </w:tr>
      <w:tr w:rsidR="009A239D" w:rsidRPr="0004340A" w14:paraId="5E11A538" w14:textId="77777777" w:rsidTr="00BE497B">
        <w:trPr>
          <w:trHeight w:val="552"/>
        </w:trPr>
        <w:tc>
          <w:tcPr>
            <w:tcW w:w="528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2C113D" w:themeFill="accent2" w:themeFillShade="80"/>
            <w:vAlign w:val="center"/>
          </w:tcPr>
          <w:p w14:paraId="67FB4BBD" w14:textId="77777777" w:rsidR="00FB7FFB" w:rsidRDefault="00FB7FFB" w:rsidP="001C72CB">
            <w:pPr>
              <w:pStyle w:val="ListParagraph"/>
              <w:spacing w:after="12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93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2E957325" w14:textId="6C894455" w:rsidR="00FB7FFB" w:rsidRPr="00E374A2" w:rsidRDefault="00017103" w:rsidP="001C72CB">
            <w:pPr>
              <w:spacing w:after="120"/>
              <w:rPr>
                <w:szCs w:val="22"/>
              </w:rPr>
            </w:pPr>
            <w:r w:rsidRPr="00E374A2">
              <w:rPr>
                <w:szCs w:val="22"/>
              </w:rPr>
              <w:t>Audit and Risk Committee established</w:t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366F11FB" w14:textId="783DFD98" w:rsidR="00FB7FFB" w:rsidRPr="00E374A2" w:rsidRDefault="00017103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>15 December 2023</w:t>
            </w:r>
          </w:p>
        </w:tc>
      </w:tr>
      <w:tr w:rsidR="009A239D" w:rsidRPr="0004340A" w14:paraId="03871781" w14:textId="77777777" w:rsidTr="00BE497B">
        <w:trPr>
          <w:trHeight w:val="552"/>
        </w:trPr>
        <w:tc>
          <w:tcPr>
            <w:tcW w:w="528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2C113D" w:themeFill="accent2" w:themeFillShade="80"/>
            <w:vAlign w:val="center"/>
          </w:tcPr>
          <w:p w14:paraId="65FC49C8" w14:textId="77777777" w:rsidR="00FB7FFB" w:rsidRDefault="00FB7FFB" w:rsidP="001C72CB">
            <w:pPr>
              <w:pStyle w:val="ListParagraph"/>
              <w:spacing w:after="12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93" w:type="dxa"/>
            <w:tcBorders>
              <w:top w:val="single" w:sz="4" w:space="0" w:color="2C113D" w:themeColor="accent2" w:themeShade="80"/>
              <w:bottom w:val="single" w:sz="4" w:space="0" w:color="auto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1AA761D7" w14:textId="784AEE97" w:rsidR="00FB7FFB" w:rsidRPr="00E374A2" w:rsidRDefault="00017103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 xml:space="preserve">Consultative Committee </w:t>
            </w:r>
            <w:r w:rsidR="00EA4770" w:rsidRPr="00E374A2">
              <w:rPr>
                <w:szCs w:val="22"/>
              </w:rPr>
              <w:t xml:space="preserve">and other </w:t>
            </w:r>
            <w:r w:rsidR="005213D6" w:rsidRPr="00E374A2">
              <w:rPr>
                <w:szCs w:val="22"/>
              </w:rPr>
              <w:t>committees</w:t>
            </w:r>
            <w:r w:rsidR="00EA4770" w:rsidRPr="00E374A2">
              <w:rPr>
                <w:szCs w:val="22"/>
              </w:rPr>
              <w:t xml:space="preserve"> </w:t>
            </w:r>
            <w:r w:rsidRPr="00E374A2">
              <w:rPr>
                <w:szCs w:val="22"/>
              </w:rPr>
              <w:t>established</w:t>
            </w:r>
            <w:r w:rsidR="00F169D6">
              <w:rPr>
                <w:rStyle w:val="FootnoteReference"/>
                <w:szCs w:val="22"/>
              </w:rPr>
              <w:footnoteReference w:id="3"/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single" w:sz="4" w:space="0" w:color="2C113D" w:themeColor="accent2" w:themeShade="8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122F7" w14:textId="359703E4" w:rsidR="00FB7FFB" w:rsidRPr="00E374A2" w:rsidRDefault="00EA4770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>30 June 2024</w:t>
            </w:r>
          </w:p>
        </w:tc>
      </w:tr>
      <w:tr w:rsidR="009A239D" w:rsidRPr="0004340A" w14:paraId="3F6F38D6" w14:textId="77777777" w:rsidTr="00BE497B">
        <w:trPr>
          <w:trHeight w:val="552"/>
        </w:trPr>
        <w:tc>
          <w:tcPr>
            <w:tcW w:w="528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2C113D" w:themeFill="accent2" w:themeFillShade="80"/>
            <w:vAlign w:val="center"/>
          </w:tcPr>
          <w:p w14:paraId="709D650F" w14:textId="77777777" w:rsidR="00FB7FFB" w:rsidRDefault="00FB7FFB" w:rsidP="001C72CB">
            <w:pPr>
              <w:pStyle w:val="ListParagraph"/>
              <w:spacing w:after="12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93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613AEF4D" w14:textId="3749CC6B" w:rsidR="00FB7FFB" w:rsidRPr="00E374A2" w:rsidRDefault="009336C8" w:rsidP="001C72CB">
            <w:pPr>
              <w:spacing w:after="120"/>
              <w:rPr>
                <w:szCs w:val="22"/>
              </w:rPr>
            </w:pPr>
            <w:r w:rsidRPr="00E374A2">
              <w:rPr>
                <w:szCs w:val="22"/>
              </w:rPr>
              <w:t xml:space="preserve">Systems of risk </w:t>
            </w:r>
            <w:r w:rsidR="00C277F2">
              <w:rPr>
                <w:szCs w:val="22"/>
              </w:rPr>
              <w:t xml:space="preserve">management </w:t>
            </w:r>
            <w:r w:rsidRPr="00E374A2">
              <w:rPr>
                <w:szCs w:val="22"/>
              </w:rPr>
              <w:t>and control designed and implemented</w:t>
            </w:r>
            <w:r w:rsidR="000B0669" w:rsidRPr="00E374A2">
              <w:rPr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2CFB4ABE" w14:textId="24FD84F4" w:rsidR="00FB7FFB" w:rsidRPr="00E374A2" w:rsidRDefault="009336C8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>30 June 2024</w:t>
            </w:r>
          </w:p>
        </w:tc>
      </w:tr>
      <w:tr w:rsidR="009A239D" w:rsidRPr="0004340A" w14:paraId="49CFF8AE" w14:textId="77777777" w:rsidTr="00BE497B">
        <w:trPr>
          <w:trHeight w:val="552"/>
        </w:trPr>
        <w:tc>
          <w:tcPr>
            <w:tcW w:w="528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2C113D" w:themeFill="accent2" w:themeFillShade="80"/>
            <w:vAlign w:val="center"/>
          </w:tcPr>
          <w:p w14:paraId="28E42D1B" w14:textId="77777777" w:rsidR="00FB7FFB" w:rsidRDefault="00FB7FFB" w:rsidP="001C72CB">
            <w:pPr>
              <w:pStyle w:val="ListParagraph"/>
              <w:spacing w:after="12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93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54A32399" w14:textId="6BB2BA76" w:rsidR="00FB7FFB" w:rsidRPr="00E374A2" w:rsidRDefault="000B0669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>Memorand</w:t>
            </w:r>
            <w:r w:rsidR="0098738B" w:rsidRPr="00E374A2">
              <w:rPr>
                <w:szCs w:val="22"/>
              </w:rPr>
              <w:t>a</w:t>
            </w:r>
            <w:r w:rsidRPr="00E374A2">
              <w:rPr>
                <w:szCs w:val="22"/>
              </w:rPr>
              <w:t xml:space="preserve"> of Understanding (MoUs) to cover the routine collection of data are established</w:t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119986AB" w14:textId="76F61344" w:rsidR="00FB7FFB" w:rsidRPr="00E374A2" w:rsidRDefault="005628BE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>30 June 2024</w:t>
            </w:r>
          </w:p>
        </w:tc>
      </w:tr>
      <w:tr w:rsidR="009A239D" w:rsidRPr="0004340A" w14:paraId="3B8EB1C9" w14:textId="77777777" w:rsidTr="00BE497B">
        <w:trPr>
          <w:trHeight w:val="552"/>
        </w:trPr>
        <w:tc>
          <w:tcPr>
            <w:tcW w:w="528" w:type="dxa"/>
            <w:tcBorders>
              <w:top w:val="single" w:sz="4" w:space="0" w:color="2C113D" w:themeColor="accent2" w:themeShade="80"/>
              <w:left w:val="single" w:sz="4" w:space="0" w:color="2C113D" w:themeColor="accent2" w:themeShade="80"/>
              <w:bottom w:val="single" w:sz="4" w:space="0" w:color="2C113D" w:themeColor="accent2" w:themeShade="80"/>
              <w:right w:val="nil"/>
            </w:tcBorders>
            <w:shd w:val="clear" w:color="auto" w:fill="2C113D" w:themeFill="accent2" w:themeFillShade="80"/>
            <w:vAlign w:val="center"/>
          </w:tcPr>
          <w:p w14:paraId="4A840BA5" w14:textId="77777777" w:rsidR="00FB7FFB" w:rsidRDefault="00FB7FFB" w:rsidP="001C72CB">
            <w:pPr>
              <w:pStyle w:val="ListParagraph"/>
              <w:spacing w:after="12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93" w:type="dxa"/>
            <w:tcBorders>
              <w:top w:val="single" w:sz="4" w:space="0" w:color="2C113D" w:themeColor="accent2" w:themeShade="80"/>
              <w:left w:val="nil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46BF8A04" w14:textId="5B8F3B2D" w:rsidR="00FB7FFB" w:rsidRPr="00E374A2" w:rsidRDefault="0098738B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>Office</w:t>
            </w:r>
            <w:r w:rsidR="005628BE" w:rsidRPr="00E374A2">
              <w:rPr>
                <w:szCs w:val="22"/>
              </w:rPr>
              <w:t xml:space="preserve"> functions </w:t>
            </w:r>
            <w:r w:rsidR="00D54742" w:rsidRPr="00E374A2">
              <w:rPr>
                <w:szCs w:val="22"/>
              </w:rPr>
              <w:t>established</w:t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nil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56A60EB2" w14:textId="5FC60CF1" w:rsidR="00FB7FFB" w:rsidRPr="00E374A2" w:rsidRDefault="00D54742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>30 June 2024</w:t>
            </w:r>
            <w:r w:rsidR="00FB7FFB" w:rsidRPr="00E374A2">
              <w:rPr>
                <w:szCs w:val="22"/>
              </w:rPr>
              <w:t xml:space="preserve"> </w:t>
            </w:r>
          </w:p>
        </w:tc>
      </w:tr>
      <w:tr w:rsidR="00CC28B7" w:rsidRPr="0004340A" w14:paraId="0A165CFC" w14:textId="77777777" w:rsidTr="00BE497B">
        <w:trPr>
          <w:trHeight w:val="552"/>
        </w:trPr>
        <w:tc>
          <w:tcPr>
            <w:tcW w:w="528" w:type="dxa"/>
            <w:tcBorders>
              <w:top w:val="single" w:sz="4" w:space="0" w:color="2C113D" w:themeColor="accent2" w:themeShade="80"/>
              <w:left w:val="single" w:sz="4" w:space="0" w:color="2C113D" w:themeColor="accent2" w:themeShade="80"/>
              <w:bottom w:val="single" w:sz="4" w:space="0" w:color="2C113D" w:themeColor="accent2" w:themeShade="80"/>
              <w:right w:val="nil"/>
            </w:tcBorders>
            <w:shd w:val="clear" w:color="auto" w:fill="2C113D" w:themeFill="accent2" w:themeFillShade="80"/>
            <w:vAlign w:val="center"/>
          </w:tcPr>
          <w:p w14:paraId="49A2A101" w14:textId="16E94F6B" w:rsidR="005628BE" w:rsidRDefault="00E62752" w:rsidP="001C72CB">
            <w:pPr>
              <w:pStyle w:val="ListParagraph"/>
              <w:spacing w:after="12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93" w:type="dxa"/>
            <w:tcBorders>
              <w:top w:val="single" w:sz="4" w:space="0" w:color="2C113D" w:themeColor="accent2" w:themeShade="80"/>
              <w:left w:val="nil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7F077628" w14:textId="7CFF02DB" w:rsidR="005628BE" w:rsidRPr="00E374A2" w:rsidRDefault="00D54742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>Governance policies developed and published</w:t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nil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5C4CD1B8" w14:textId="755B28E1" w:rsidR="005628BE" w:rsidRPr="00E374A2" w:rsidRDefault="00D54742" w:rsidP="00E374A2">
            <w:pPr>
              <w:spacing w:after="120"/>
              <w:jc w:val="both"/>
              <w:rPr>
                <w:szCs w:val="22"/>
              </w:rPr>
            </w:pPr>
            <w:r w:rsidRPr="00E374A2">
              <w:rPr>
                <w:szCs w:val="22"/>
              </w:rPr>
              <w:t>30 June 2024</w:t>
            </w:r>
          </w:p>
        </w:tc>
      </w:tr>
      <w:tr w:rsidR="00FB7FFB" w:rsidRPr="0004340A" w14:paraId="1D370BC8" w14:textId="77777777" w:rsidTr="00551D21">
        <w:trPr>
          <w:trHeight w:val="454"/>
        </w:trPr>
        <w:tc>
          <w:tcPr>
            <w:tcW w:w="528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2C113D" w:themeFill="accent2" w:themeFillShade="80"/>
            <w:vAlign w:val="center"/>
          </w:tcPr>
          <w:p w14:paraId="6C472DCE" w14:textId="77777777" w:rsidR="00FB7FFB" w:rsidRPr="0004340A" w:rsidRDefault="00FB7FFB" w:rsidP="001C72CB">
            <w:pPr>
              <w:pStyle w:val="ListParagraph"/>
              <w:spacing w:after="12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403" w:type="dxa"/>
            <w:gridSpan w:val="2"/>
            <w:tcBorders>
              <w:top w:val="nil"/>
              <w:bottom w:val="single" w:sz="4" w:space="0" w:color="2C113D" w:themeColor="accent2" w:themeShade="80"/>
            </w:tcBorders>
            <w:shd w:val="clear" w:color="auto" w:fill="E0C7EF" w:themeFill="accent2" w:themeFillTint="33"/>
            <w:vAlign w:val="center"/>
          </w:tcPr>
          <w:p w14:paraId="01B5241D" w14:textId="24DB1CAF" w:rsidR="00FB7FFB" w:rsidRPr="00141DCF" w:rsidRDefault="009E60E6" w:rsidP="001C72CB">
            <w:pPr>
              <w:pStyle w:val="ListParagraph"/>
              <w:spacing w:after="120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Commence monitoring, investigating, </w:t>
            </w:r>
            <w:r w:rsidR="00BA1780">
              <w:rPr>
                <w:b/>
                <w:bCs/>
                <w:sz w:val="26"/>
                <w:szCs w:val="26"/>
              </w:rPr>
              <w:t>reviewing,</w:t>
            </w:r>
            <w:r>
              <w:rPr>
                <w:b/>
                <w:bCs/>
                <w:sz w:val="26"/>
                <w:szCs w:val="26"/>
              </w:rPr>
              <w:t xml:space="preserve"> and reporting on the aged care system</w:t>
            </w:r>
          </w:p>
        </w:tc>
      </w:tr>
      <w:tr w:rsidR="009A239D" w:rsidRPr="0004340A" w14:paraId="32E47CF4" w14:textId="77777777" w:rsidTr="00BE497B">
        <w:trPr>
          <w:trHeight w:val="498"/>
        </w:trPr>
        <w:tc>
          <w:tcPr>
            <w:tcW w:w="528" w:type="dxa"/>
            <w:shd w:val="clear" w:color="auto" w:fill="2C113D" w:themeFill="accent2" w:themeFillShade="80"/>
            <w:vAlign w:val="center"/>
          </w:tcPr>
          <w:p w14:paraId="63CBC7AE" w14:textId="232FDAB3" w:rsidR="00FB7FFB" w:rsidRDefault="00A618F3" w:rsidP="001C72CB">
            <w:pPr>
              <w:pStyle w:val="ListParagraph"/>
              <w:spacing w:after="12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93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1BB84EC1" w14:textId="58350CFA" w:rsidR="00FB7FFB" w:rsidRPr="00E374A2" w:rsidRDefault="005213D6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 xml:space="preserve">Annual Work Plan </w:t>
            </w:r>
            <w:r w:rsidR="00283FE0">
              <w:rPr>
                <w:szCs w:val="22"/>
              </w:rPr>
              <w:t xml:space="preserve">(AWP) </w:t>
            </w:r>
            <w:r w:rsidRPr="00E374A2">
              <w:rPr>
                <w:szCs w:val="22"/>
              </w:rPr>
              <w:t>published</w:t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08B21536" w14:textId="458C1F5C" w:rsidR="00FB7FFB" w:rsidRPr="00E374A2" w:rsidRDefault="00FB7FFB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>1</w:t>
            </w:r>
            <w:r w:rsidR="00BE497B" w:rsidRPr="00BE497B">
              <w:rPr>
                <w:szCs w:val="22"/>
                <w:vertAlign w:val="superscript"/>
              </w:rPr>
              <w:t>st</w:t>
            </w:r>
            <w:r w:rsidR="00BE497B">
              <w:rPr>
                <w:szCs w:val="22"/>
              </w:rPr>
              <w:t xml:space="preserve"> </w:t>
            </w:r>
            <w:r w:rsidR="00283FE0">
              <w:rPr>
                <w:szCs w:val="22"/>
              </w:rPr>
              <w:t>AWP</w:t>
            </w:r>
            <w:r w:rsidRPr="00E374A2">
              <w:rPr>
                <w:szCs w:val="22"/>
              </w:rPr>
              <w:t xml:space="preserve"> </w:t>
            </w:r>
            <w:r w:rsidR="00C277F2">
              <w:rPr>
                <w:szCs w:val="22"/>
              </w:rPr>
              <w:t>p</w:t>
            </w:r>
            <w:r w:rsidRPr="00E374A2">
              <w:rPr>
                <w:szCs w:val="22"/>
              </w:rPr>
              <w:t>ublished</w:t>
            </w:r>
            <w:r w:rsidR="00C277F2">
              <w:rPr>
                <w:szCs w:val="22"/>
              </w:rPr>
              <w:t xml:space="preserve"> by 15 December </w:t>
            </w:r>
            <w:r w:rsidR="00702C8D">
              <w:rPr>
                <w:szCs w:val="22"/>
              </w:rPr>
              <w:t>2023</w:t>
            </w:r>
          </w:p>
        </w:tc>
      </w:tr>
      <w:tr w:rsidR="009A239D" w:rsidRPr="0004340A" w14:paraId="36AB9752" w14:textId="77777777" w:rsidTr="00BE497B">
        <w:trPr>
          <w:trHeight w:val="737"/>
        </w:trPr>
        <w:tc>
          <w:tcPr>
            <w:tcW w:w="528" w:type="dxa"/>
            <w:shd w:val="clear" w:color="auto" w:fill="2C113D" w:themeFill="accent2" w:themeFillShade="80"/>
            <w:vAlign w:val="center"/>
          </w:tcPr>
          <w:p w14:paraId="029A694C" w14:textId="74FA4F75" w:rsidR="00FB7FFB" w:rsidRDefault="00A618F3" w:rsidP="001C72CB">
            <w:pPr>
              <w:pStyle w:val="ListParagraph"/>
              <w:spacing w:after="12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93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78C6351D" w14:textId="7BDA850B" w:rsidR="009A2041" w:rsidRPr="001C484E" w:rsidRDefault="00C84DA9" w:rsidP="002276BD">
            <w:pPr>
              <w:pStyle w:val="ListParagraph"/>
              <w:spacing w:after="120"/>
              <w:ind w:left="0"/>
            </w:pPr>
            <w:r w:rsidRPr="00E374A2">
              <w:rPr>
                <w:szCs w:val="22"/>
              </w:rPr>
              <w:t>Effective stakeholder engagement</w:t>
            </w:r>
            <w:r w:rsidR="002276BD">
              <w:rPr>
                <w:szCs w:val="22"/>
              </w:rPr>
              <w:t xml:space="preserve"> through meeting</w:t>
            </w:r>
            <w:r w:rsidR="009A2041" w:rsidRPr="001C484E">
              <w:t>s with consultative committee</w:t>
            </w:r>
            <w:r w:rsidR="00E374A2" w:rsidRPr="001C484E">
              <w:t xml:space="preserve">, other advisory bodies, agencies, </w:t>
            </w:r>
            <w:r w:rsidR="00BA1780" w:rsidRPr="001C484E">
              <w:t>organisations,</w:t>
            </w:r>
            <w:r w:rsidR="00E374A2" w:rsidRPr="001C484E">
              <w:t xml:space="preserve"> and the public</w:t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66F095B1" w14:textId="548C4D2D" w:rsidR="00DB0328" w:rsidRPr="00E374A2" w:rsidRDefault="001709BD" w:rsidP="00E374A2">
            <w:pPr>
              <w:spacing w:after="120"/>
              <w:rPr>
                <w:szCs w:val="22"/>
              </w:rPr>
            </w:pPr>
            <w:r w:rsidRPr="00437CD1">
              <w:rPr>
                <w:szCs w:val="22"/>
              </w:rPr>
              <w:t>1</w:t>
            </w:r>
            <w:r w:rsidR="008D4C39">
              <w:rPr>
                <w:szCs w:val="22"/>
              </w:rPr>
              <w:t>6</w:t>
            </w:r>
            <w:r w:rsidR="00E374A2" w:rsidRPr="00E374A2">
              <w:rPr>
                <w:szCs w:val="22"/>
              </w:rPr>
              <w:t xml:space="preserve"> meetings held</w:t>
            </w:r>
          </w:p>
        </w:tc>
      </w:tr>
      <w:tr w:rsidR="00DB0328" w:rsidRPr="0004340A" w14:paraId="4005C7C2" w14:textId="77777777" w:rsidTr="00BE497B">
        <w:trPr>
          <w:trHeight w:val="737"/>
        </w:trPr>
        <w:tc>
          <w:tcPr>
            <w:tcW w:w="528" w:type="dxa"/>
            <w:shd w:val="clear" w:color="auto" w:fill="2C113D" w:themeFill="accent2" w:themeFillShade="80"/>
            <w:vAlign w:val="center"/>
          </w:tcPr>
          <w:p w14:paraId="5929490B" w14:textId="41C73783" w:rsidR="00DB0328" w:rsidRDefault="00A618F3" w:rsidP="001C72CB">
            <w:pPr>
              <w:pStyle w:val="ListParagraph"/>
              <w:spacing w:after="12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993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1FE4085C" w14:textId="27933CBD" w:rsidR="00DB0328" w:rsidRPr="00E374A2" w:rsidRDefault="00C2374B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>Reports and reviews are delivered and published within agreed timeframes</w:t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0A217157" w14:textId="02AF0DF9" w:rsidR="00DB0328" w:rsidRPr="00E374A2" w:rsidRDefault="001709BD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9A239D" w:rsidRPr="00E374A2">
              <w:rPr>
                <w:szCs w:val="22"/>
              </w:rPr>
              <w:t xml:space="preserve"> </w:t>
            </w:r>
            <w:r w:rsidR="00CF0EF2" w:rsidRPr="00283FE0">
              <w:rPr>
                <w:szCs w:val="22"/>
              </w:rPr>
              <w:t>review report</w:t>
            </w:r>
            <w:r w:rsidR="009A239D" w:rsidRPr="00E374A2">
              <w:rPr>
                <w:szCs w:val="22"/>
              </w:rPr>
              <w:t xml:space="preserve"> published</w:t>
            </w:r>
          </w:p>
        </w:tc>
      </w:tr>
      <w:tr w:rsidR="00551D21" w:rsidRPr="0004340A" w14:paraId="5F6FE962" w14:textId="77777777" w:rsidTr="00BE497B">
        <w:trPr>
          <w:trHeight w:val="737"/>
        </w:trPr>
        <w:tc>
          <w:tcPr>
            <w:tcW w:w="528" w:type="dxa"/>
            <w:shd w:val="clear" w:color="auto" w:fill="2C113D" w:themeFill="accent2" w:themeFillShade="80"/>
            <w:vAlign w:val="center"/>
          </w:tcPr>
          <w:p w14:paraId="3C0F6559" w14:textId="77777777" w:rsidR="0069144F" w:rsidRDefault="0069144F" w:rsidP="006F04BE">
            <w:pPr>
              <w:pStyle w:val="ListParagraph"/>
              <w:spacing w:after="12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993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35AFDB07" w14:textId="580681D7" w:rsidR="0069144F" w:rsidRPr="00E374A2" w:rsidRDefault="00D63D5E" w:rsidP="006F04BE">
            <w:pPr>
              <w:pStyle w:val="ListParagraph"/>
              <w:spacing w:after="120"/>
              <w:ind w:left="0"/>
              <w:rPr>
                <w:szCs w:val="22"/>
              </w:rPr>
            </w:pPr>
            <w:r>
              <w:rPr>
                <w:szCs w:val="22"/>
              </w:rPr>
              <w:t>Percentage of recommendations in public reports accepted by the agency or organisation</w:t>
            </w:r>
            <w:r w:rsidR="002F42C1">
              <w:rPr>
                <w:szCs w:val="22"/>
              </w:rPr>
              <w:t xml:space="preserve"> or government</w:t>
            </w:r>
            <w:r w:rsidR="007A79F9">
              <w:rPr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36727143" w14:textId="4397E769" w:rsidR="0069144F" w:rsidRPr="00E374A2" w:rsidRDefault="00D63D5E" w:rsidP="006F04BE">
            <w:pPr>
              <w:pStyle w:val="ListParagraph"/>
              <w:spacing w:after="120"/>
              <w:ind w:left="0"/>
              <w:rPr>
                <w:szCs w:val="22"/>
              </w:rPr>
            </w:pPr>
            <w:r>
              <w:rPr>
                <w:szCs w:val="22"/>
              </w:rPr>
              <w:t>70%</w:t>
            </w:r>
            <w:r w:rsidR="001C06E9">
              <w:rPr>
                <w:szCs w:val="22"/>
              </w:rPr>
              <w:t xml:space="preserve"> accepted</w:t>
            </w:r>
            <w:r w:rsidR="001C06E9">
              <w:rPr>
                <w:rStyle w:val="FootnoteReference"/>
                <w:szCs w:val="22"/>
              </w:rPr>
              <w:footnoteReference w:id="4"/>
            </w:r>
          </w:p>
        </w:tc>
      </w:tr>
      <w:tr w:rsidR="009A239D" w:rsidRPr="0004340A" w14:paraId="162E2281" w14:textId="77777777" w:rsidTr="00BE497B">
        <w:trPr>
          <w:trHeight w:val="737"/>
        </w:trPr>
        <w:tc>
          <w:tcPr>
            <w:tcW w:w="528" w:type="dxa"/>
            <w:shd w:val="clear" w:color="auto" w:fill="2C113D" w:themeFill="accent2" w:themeFillShade="80"/>
            <w:vAlign w:val="center"/>
          </w:tcPr>
          <w:p w14:paraId="78E64641" w14:textId="6385B258" w:rsidR="009A239D" w:rsidRDefault="00A618F3" w:rsidP="001C72CB">
            <w:pPr>
              <w:pStyle w:val="ListParagraph"/>
              <w:spacing w:after="12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B1DA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93" w:type="dxa"/>
            <w:tcBorders>
              <w:top w:val="single" w:sz="4" w:space="0" w:color="2C113D" w:themeColor="accent2" w:themeShade="80"/>
              <w:bottom w:val="single" w:sz="4" w:space="0" w:color="2C113D" w:themeColor="accent2" w:themeShade="80"/>
              <w:right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35221E41" w14:textId="563F1401" w:rsidR="009A239D" w:rsidRPr="00E374A2" w:rsidRDefault="009A239D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 xml:space="preserve">Reports on implementation of Royal Commission recommendations delivered within </w:t>
            </w:r>
            <w:r w:rsidR="00A618F3" w:rsidRPr="00E374A2">
              <w:rPr>
                <w:szCs w:val="22"/>
              </w:rPr>
              <w:t>statutory</w:t>
            </w:r>
            <w:r w:rsidRPr="00E374A2">
              <w:rPr>
                <w:szCs w:val="22"/>
              </w:rPr>
              <w:t xml:space="preserve"> timeframes</w:t>
            </w:r>
          </w:p>
        </w:tc>
        <w:tc>
          <w:tcPr>
            <w:tcW w:w="2410" w:type="dxa"/>
            <w:tcBorders>
              <w:top w:val="single" w:sz="4" w:space="0" w:color="2C113D" w:themeColor="accent2" w:themeShade="80"/>
              <w:left w:val="single" w:sz="4" w:space="0" w:color="2C113D" w:themeColor="accent2" w:themeShade="80"/>
              <w:bottom w:val="single" w:sz="4" w:space="0" w:color="2C113D" w:themeColor="accent2" w:themeShade="80"/>
            </w:tcBorders>
            <w:shd w:val="clear" w:color="auto" w:fill="FFFFFF" w:themeFill="background1"/>
            <w:vAlign w:val="center"/>
          </w:tcPr>
          <w:p w14:paraId="78EF7A27" w14:textId="467844E7" w:rsidR="009A239D" w:rsidRPr="00E374A2" w:rsidRDefault="009A239D" w:rsidP="001C72CB">
            <w:pPr>
              <w:pStyle w:val="ListParagraph"/>
              <w:spacing w:after="120"/>
              <w:ind w:left="0"/>
              <w:rPr>
                <w:szCs w:val="22"/>
              </w:rPr>
            </w:pPr>
            <w:r w:rsidRPr="00E374A2">
              <w:rPr>
                <w:szCs w:val="22"/>
              </w:rPr>
              <w:t>1 report published</w:t>
            </w:r>
          </w:p>
        </w:tc>
      </w:tr>
      <w:bookmarkEnd w:id="26"/>
    </w:tbl>
    <w:p w14:paraId="21B1C68E" w14:textId="57255FD6" w:rsidR="00BE7F27" w:rsidRDefault="00BE7F27" w:rsidP="004200D9">
      <w:pPr>
        <w:rPr>
          <w:highlight w:val="yellow"/>
        </w:rPr>
        <w:sectPr w:rsidR="00BE7F27" w:rsidSect="00E83976">
          <w:headerReference w:type="default" r:id="rId32"/>
          <w:footerReference w:type="default" r:id="rId33"/>
          <w:pgSz w:w="11906" w:h="16838"/>
          <w:pgMar w:top="1440" w:right="1440" w:bottom="1276" w:left="1440" w:header="709" w:footer="709" w:gutter="0"/>
          <w:cols w:space="708"/>
          <w:titlePg/>
          <w:docGrid w:linePitch="360"/>
        </w:sectPr>
      </w:pPr>
    </w:p>
    <w:p w14:paraId="3500FABE" w14:textId="658FAE51" w:rsidR="00323B88" w:rsidRPr="00150FF5" w:rsidRDefault="00150FF5" w:rsidP="00723097">
      <w:pPr>
        <w:spacing w:before="2520"/>
        <w:jc w:val="center"/>
        <w:rPr>
          <w:sz w:val="96"/>
          <w:szCs w:val="144"/>
        </w:rPr>
      </w:pPr>
      <w:r w:rsidRPr="00150FF5">
        <w:rPr>
          <w:rFonts w:cstheme="minorHAnsi"/>
          <w:b/>
          <w:bCs/>
          <w:noProof/>
          <w:color w:val="FFFFFF" w:themeColor="background1"/>
          <w:sz w:val="72"/>
          <w:szCs w:val="96"/>
        </w:rPr>
        <w:lastRenderedPageBreak/>
        <w:drawing>
          <wp:anchor distT="0" distB="0" distL="114300" distR="114300" simplePos="0" relativeHeight="251658752" behindDoc="1" locked="0" layoutInCell="1" allowOverlap="1" wp14:anchorId="74D27E47" wp14:editId="7699B09C">
            <wp:simplePos x="0" y="0"/>
            <wp:positionH relativeFrom="column">
              <wp:posOffset>-906780</wp:posOffset>
            </wp:positionH>
            <wp:positionV relativeFrom="paragraph">
              <wp:posOffset>-903605</wp:posOffset>
            </wp:positionV>
            <wp:extent cx="7587615" cy="10701295"/>
            <wp:effectExtent l="0" t="0" r="0" b="508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11"/>
                    <a:stretch/>
                  </pic:blipFill>
                  <pic:spPr bwMode="auto">
                    <a:xfrm>
                      <a:off x="0" y="0"/>
                      <a:ext cx="7587615" cy="107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FF5">
        <w:rPr>
          <w:color w:val="FFFFFF" w:themeColor="background1"/>
          <w:sz w:val="96"/>
          <w:szCs w:val="144"/>
        </w:rPr>
        <w:t>www.igac.gov.au</w:t>
      </w:r>
    </w:p>
    <w:sectPr w:rsidR="00323B88" w:rsidRPr="00150FF5" w:rsidSect="008725BD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1F35" w14:textId="77777777" w:rsidR="00CB2319" w:rsidRDefault="00CB2319" w:rsidP="007E110D">
      <w:r>
        <w:separator/>
      </w:r>
    </w:p>
  </w:endnote>
  <w:endnote w:type="continuationSeparator" w:id="0">
    <w:p w14:paraId="78A92941" w14:textId="77777777" w:rsidR="00CB2319" w:rsidRDefault="00CB2319" w:rsidP="007E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BD67" w14:textId="1CE0B55D" w:rsidR="00D77BB0" w:rsidRDefault="00CE5B44" w:rsidP="00AF38A8">
    <w:pPr>
      <w:pStyle w:val="Footer"/>
      <w:pBdr>
        <w:bottom w:val="single" w:sz="6" w:space="1" w:color="auto"/>
      </w:pBdr>
      <w:tabs>
        <w:tab w:val="clear" w:pos="4513"/>
        <w:tab w:val="center" w:pos="0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09B39A43" wp14:editId="12255C0C">
          <wp:simplePos x="0" y="0"/>
          <wp:positionH relativeFrom="column">
            <wp:posOffset>-881380</wp:posOffset>
          </wp:positionH>
          <wp:positionV relativeFrom="paragraph">
            <wp:posOffset>-979914</wp:posOffset>
          </wp:positionV>
          <wp:extent cx="7526598" cy="190754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598" cy="190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D71417" w14:textId="77777777" w:rsidR="00D77BB0" w:rsidRPr="00D77BB0" w:rsidRDefault="00D77BB0" w:rsidP="00AF38A8">
    <w:pPr>
      <w:pStyle w:val="Footer"/>
      <w:tabs>
        <w:tab w:val="clear" w:pos="4513"/>
        <w:tab w:val="center" w:pos="0"/>
      </w:tabs>
      <w:rPr>
        <w:sz w:val="4"/>
        <w:szCs w:val="4"/>
      </w:rPr>
    </w:pPr>
  </w:p>
  <w:p w14:paraId="06D94FEA" w14:textId="7FC62B8C" w:rsidR="00751A23" w:rsidRPr="00751A23" w:rsidRDefault="004C5150" w:rsidP="004C5150">
    <w:pPr>
      <w:pStyle w:val="Footer"/>
      <w:tabs>
        <w:tab w:val="clear" w:pos="4513"/>
        <w:tab w:val="center" w:pos="0"/>
      </w:tabs>
      <w:rPr>
        <w:szCs w:val="20"/>
      </w:rPr>
    </w:pPr>
    <w:r>
      <w:t>Office of the Inspector-General of Aged Care – Corporate Plan 2023-24</w:t>
    </w:r>
    <w:r w:rsidR="004A62DC" w:rsidRPr="00751A23">
      <w:rPr>
        <w:szCs w:val="20"/>
      </w:rPr>
      <w:t xml:space="preserve"> </w:t>
    </w:r>
    <w:sdt>
      <w:sdtPr>
        <w:rPr>
          <w:szCs w:val="20"/>
        </w:r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62DC">
          <w:rPr>
            <w:szCs w:val="20"/>
          </w:rPr>
          <w:tab/>
        </w:r>
        <w:r w:rsidR="004A62DC" w:rsidRPr="006043C7">
          <w:rPr>
            <w:szCs w:val="20"/>
          </w:rPr>
          <w:fldChar w:fldCharType="begin"/>
        </w:r>
        <w:r w:rsidR="004A62DC" w:rsidRPr="006043C7">
          <w:rPr>
            <w:szCs w:val="20"/>
          </w:rPr>
          <w:instrText xml:space="preserve"> PAGE   \* MERGEFORMAT </w:instrText>
        </w:r>
        <w:r w:rsidR="004A62DC" w:rsidRPr="006043C7">
          <w:rPr>
            <w:szCs w:val="20"/>
          </w:rPr>
          <w:fldChar w:fldCharType="separate"/>
        </w:r>
        <w:r w:rsidR="004A62DC">
          <w:rPr>
            <w:noProof/>
            <w:szCs w:val="20"/>
          </w:rPr>
          <w:t>4</w:t>
        </w:r>
        <w:r w:rsidR="004A62DC"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3514" w14:textId="6B9C781B" w:rsidR="00A20092" w:rsidRDefault="00A20092" w:rsidP="00A20092">
    <w:pPr>
      <w:pStyle w:val="Footer"/>
      <w:pBdr>
        <w:bottom w:val="single" w:sz="6" w:space="1" w:color="auto"/>
      </w:pBdr>
      <w:tabs>
        <w:tab w:val="clear" w:pos="4513"/>
        <w:tab w:val="center" w:pos="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45B7AD03" wp14:editId="3E490550">
          <wp:simplePos x="0" y="0"/>
          <wp:positionH relativeFrom="column">
            <wp:posOffset>-881380</wp:posOffset>
          </wp:positionH>
          <wp:positionV relativeFrom="paragraph">
            <wp:posOffset>-979914</wp:posOffset>
          </wp:positionV>
          <wp:extent cx="7526598" cy="190754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598" cy="190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B3384E" w14:textId="77777777" w:rsidR="00A20092" w:rsidRPr="00D77BB0" w:rsidRDefault="00A20092" w:rsidP="00A20092">
    <w:pPr>
      <w:pStyle w:val="Footer"/>
      <w:tabs>
        <w:tab w:val="clear" w:pos="4513"/>
        <w:tab w:val="center" w:pos="0"/>
      </w:tabs>
      <w:rPr>
        <w:sz w:val="4"/>
        <w:szCs w:val="4"/>
      </w:rPr>
    </w:pPr>
  </w:p>
  <w:p w14:paraId="5183BB5D" w14:textId="77777777" w:rsidR="00A20092" w:rsidRPr="00751A23" w:rsidRDefault="00A20092" w:rsidP="00A20092">
    <w:pPr>
      <w:pStyle w:val="Footer"/>
      <w:tabs>
        <w:tab w:val="clear" w:pos="4513"/>
        <w:tab w:val="center" w:pos="0"/>
      </w:tabs>
      <w:rPr>
        <w:szCs w:val="20"/>
      </w:rPr>
    </w:pPr>
    <w:r>
      <w:t>Office of the Inspector-General of Aged Care – Corporate Plan 2023-24</w:t>
    </w:r>
    <w:r w:rsidRPr="00751A23">
      <w:rPr>
        <w:szCs w:val="20"/>
      </w:rPr>
      <w:t xml:space="preserve"> </w:t>
    </w:r>
    <w:sdt>
      <w:sdtPr>
        <w:rPr>
          <w:szCs w:val="20"/>
        </w:rPr>
        <w:id w:val="621116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Cs w:val="20"/>
          </w:rPr>
          <w:tab/>
        </w:r>
        <w:r w:rsidRPr="006043C7">
          <w:rPr>
            <w:szCs w:val="20"/>
          </w:rPr>
          <w:fldChar w:fldCharType="begin"/>
        </w:r>
        <w:r w:rsidRPr="006043C7">
          <w:rPr>
            <w:szCs w:val="20"/>
          </w:rPr>
          <w:instrText xml:space="preserve"> PAGE   \* MERGEFORMAT </w:instrText>
        </w:r>
        <w:r w:rsidRPr="006043C7">
          <w:rPr>
            <w:szCs w:val="20"/>
          </w:rPr>
          <w:fldChar w:fldCharType="separate"/>
        </w:r>
        <w:r>
          <w:rPr>
            <w:szCs w:val="20"/>
          </w:rPr>
          <w:t>4</w:t>
        </w:r>
        <w:r w:rsidRPr="006043C7">
          <w:rPr>
            <w:noProof/>
            <w:szCs w:val="20"/>
          </w:rPr>
          <w:fldChar w:fldCharType="end"/>
        </w:r>
      </w:sdtContent>
    </w:sdt>
  </w:p>
  <w:p w14:paraId="67AC474B" w14:textId="77777777" w:rsidR="00A20092" w:rsidRDefault="00A20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F53F" w14:textId="77777777" w:rsidR="00D77BB0" w:rsidRDefault="00CE5B44" w:rsidP="00AF38A8">
    <w:pPr>
      <w:pStyle w:val="Footer"/>
      <w:pBdr>
        <w:bottom w:val="single" w:sz="6" w:space="1" w:color="auto"/>
      </w:pBdr>
      <w:tabs>
        <w:tab w:val="clear" w:pos="4513"/>
        <w:tab w:val="center" w:pos="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093099A" wp14:editId="31C265CD">
          <wp:simplePos x="0" y="0"/>
          <wp:positionH relativeFrom="column">
            <wp:posOffset>-881380</wp:posOffset>
          </wp:positionH>
          <wp:positionV relativeFrom="paragraph">
            <wp:posOffset>-979914</wp:posOffset>
          </wp:positionV>
          <wp:extent cx="7526598" cy="190754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598" cy="190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D2AD6" w14:textId="77777777" w:rsidR="00D77BB0" w:rsidRPr="00D77BB0" w:rsidRDefault="00D77BB0" w:rsidP="00AF38A8">
    <w:pPr>
      <w:pStyle w:val="Footer"/>
      <w:tabs>
        <w:tab w:val="clear" w:pos="4513"/>
        <w:tab w:val="center" w:pos="0"/>
      </w:tabs>
      <w:rPr>
        <w:sz w:val="4"/>
        <w:szCs w:val="4"/>
      </w:rPr>
    </w:pPr>
  </w:p>
  <w:p w14:paraId="6A910904" w14:textId="691C5D42" w:rsidR="00AF38A8" w:rsidRDefault="00AF001D" w:rsidP="00AF38A8">
    <w:pPr>
      <w:pStyle w:val="Footer"/>
      <w:tabs>
        <w:tab w:val="clear" w:pos="4513"/>
        <w:tab w:val="center" w:pos="0"/>
      </w:tabs>
    </w:pPr>
    <w:r>
      <w:t>Office of the Inspector-General of Aged Care – Corporate Plan 2023-24</w:t>
    </w:r>
  </w:p>
  <w:p w14:paraId="5913BDE9" w14:textId="77777777" w:rsidR="00751A23" w:rsidRPr="00751A23" w:rsidRDefault="004A62DC" w:rsidP="00AF38A8">
    <w:pPr>
      <w:pStyle w:val="Footer"/>
      <w:tabs>
        <w:tab w:val="clear" w:pos="4513"/>
        <w:tab w:val="center" w:pos="0"/>
      </w:tabs>
      <w:jc w:val="center"/>
      <w:rPr>
        <w:szCs w:val="20"/>
      </w:rPr>
    </w:pPr>
    <w:r w:rsidRPr="00751A23">
      <w:rPr>
        <w:szCs w:val="20"/>
      </w:rPr>
      <w:t xml:space="preserve"> </w:t>
    </w:r>
    <w:sdt>
      <w:sdtPr>
        <w:rPr>
          <w:szCs w:val="20"/>
        </w:rPr>
        <w:id w:val="858164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Cs w:val="20"/>
          </w:rPr>
          <w:tab/>
        </w:r>
        <w:r w:rsidRPr="006043C7">
          <w:rPr>
            <w:szCs w:val="20"/>
          </w:rPr>
          <w:fldChar w:fldCharType="begin"/>
        </w:r>
        <w:r w:rsidRPr="006043C7">
          <w:rPr>
            <w:szCs w:val="20"/>
          </w:rPr>
          <w:instrText xml:space="preserve"> PAGE   \* MERGEFORMAT </w:instrText>
        </w:r>
        <w:r w:rsidRPr="006043C7">
          <w:rPr>
            <w:szCs w:val="20"/>
          </w:rPr>
          <w:fldChar w:fldCharType="separate"/>
        </w:r>
        <w:r>
          <w:rPr>
            <w:noProof/>
            <w:szCs w:val="20"/>
          </w:rPr>
          <w:t>4</w:t>
        </w:r>
        <w:r w:rsidRPr="006043C7">
          <w:rPr>
            <w:noProof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0A4D" w14:textId="77777777" w:rsidR="00CB2319" w:rsidRDefault="00CB2319" w:rsidP="007E110D">
      <w:r>
        <w:separator/>
      </w:r>
    </w:p>
  </w:footnote>
  <w:footnote w:type="continuationSeparator" w:id="0">
    <w:p w14:paraId="5BCD8FFD" w14:textId="77777777" w:rsidR="00CB2319" w:rsidRDefault="00CB2319" w:rsidP="007E110D">
      <w:r>
        <w:continuationSeparator/>
      </w:r>
    </w:p>
  </w:footnote>
  <w:footnote w:id="1">
    <w:p w14:paraId="68C3850D" w14:textId="77777777" w:rsidR="008C31B1" w:rsidRDefault="008C31B1" w:rsidP="008C31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4AD9">
        <w:rPr>
          <w:sz w:val="16"/>
          <w:szCs w:val="16"/>
        </w:rPr>
        <w:t>The Royal Commission into Aged Care Quality and Safety Final Report: Care, Dignity and Respect was tabled in parliament on 1 March 202</w:t>
      </w:r>
      <w:r>
        <w:rPr>
          <w:sz w:val="16"/>
          <w:szCs w:val="16"/>
        </w:rPr>
        <w:t>1 –</w:t>
      </w:r>
      <w:r w:rsidRPr="002E4AD9">
        <w:rPr>
          <w:sz w:val="16"/>
          <w:szCs w:val="16"/>
        </w:rPr>
        <w:t xml:space="preserve"> </w:t>
      </w:r>
      <w:hyperlink r:id="rId1" w:history="1">
        <w:r w:rsidRPr="002E4AD9">
          <w:rPr>
            <w:rStyle w:val="Hyperlink"/>
            <w:sz w:val="16"/>
            <w:szCs w:val="16"/>
          </w:rPr>
          <w:t>https://www.royalcommission.gov.au/aged-care/final-report</w:t>
        </w:r>
      </w:hyperlink>
      <w:r>
        <w:t xml:space="preserve"> </w:t>
      </w:r>
    </w:p>
  </w:footnote>
  <w:footnote w:id="2">
    <w:p w14:paraId="16C6CB68" w14:textId="72BAAE54" w:rsidR="00CB4611" w:rsidRDefault="00CB4611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="00C634F0">
        <w:t xml:space="preserve">Interim Inspector-General of Aged Care </w:t>
      </w:r>
      <w:r w:rsidR="00483707">
        <w:t xml:space="preserve">prepared </w:t>
      </w:r>
      <w:r w:rsidR="00E505DD">
        <w:t xml:space="preserve">the </w:t>
      </w:r>
      <w:r>
        <w:t xml:space="preserve">first </w:t>
      </w:r>
      <w:r w:rsidR="005336F5" w:rsidRPr="005336F5">
        <w:t>progress report on the implementation of recommendations from the Aged Care Royal Commission</w:t>
      </w:r>
      <w:r w:rsidR="007032B9">
        <w:t xml:space="preserve"> in July 2023. It was </w:t>
      </w:r>
      <w:r w:rsidR="00761E8D">
        <w:t>published in</w:t>
      </w:r>
      <w:r w:rsidR="00D313C8">
        <w:t xml:space="preserve"> October 2023.</w:t>
      </w:r>
    </w:p>
  </w:footnote>
  <w:footnote w:id="3">
    <w:p w14:paraId="6DB01209" w14:textId="339A605B" w:rsidR="00F169D6" w:rsidRDefault="00F169D6" w:rsidP="00BE5FD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E97823" w:rsidRPr="00E97823">
        <w:t>A</w:t>
      </w:r>
      <w:r w:rsidR="00355913">
        <w:t>n interim</w:t>
      </w:r>
      <w:r w:rsidR="00E97823" w:rsidRPr="00E97823">
        <w:t xml:space="preserve"> Consultative Committee </w:t>
      </w:r>
      <w:r w:rsidR="00BA52C9">
        <w:t xml:space="preserve">was </w:t>
      </w:r>
      <w:r w:rsidR="00E97823" w:rsidRPr="00E97823">
        <w:t>established</w:t>
      </w:r>
      <w:r w:rsidR="00EC2BFF">
        <w:t xml:space="preserve"> </w:t>
      </w:r>
      <w:r w:rsidR="00BA52C9">
        <w:t>in</w:t>
      </w:r>
      <w:r w:rsidR="00EC2BFF">
        <w:t xml:space="preserve"> </w:t>
      </w:r>
      <w:r w:rsidR="00904061">
        <w:t>March</w:t>
      </w:r>
      <w:r w:rsidR="00EC2BFF">
        <w:t xml:space="preserve"> 2023</w:t>
      </w:r>
      <w:r w:rsidR="00E97823" w:rsidRPr="00E97823">
        <w:t xml:space="preserve"> to advise the </w:t>
      </w:r>
      <w:r w:rsidR="00355913">
        <w:t xml:space="preserve">Office of the </w:t>
      </w:r>
      <w:r w:rsidR="00E97823" w:rsidRPr="00E97823">
        <w:t>Interim Inspector-General</w:t>
      </w:r>
      <w:r w:rsidR="00807510">
        <w:t xml:space="preserve">. </w:t>
      </w:r>
      <w:r w:rsidR="00952F92">
        <w:t xml:space="preserve">The </w:t>
      </w:r>
      <w:r w:rsidR="00E23854">
        <w:t xml:space="preserve">committee </w:t>
      </w:r>
      <w:r w:rsidR="005D0769">
        <w:t xml:space="preserve">was retained following establishment of the statutory </w:t>
      </w:r>
      <w:r w:rsidR="001377F4">
        <w:t>O</w:t>
      </w:r>
      <w:r w:rsidR="005D0769">
        <w:t>ffice</w:t>
      </w:r>
      <w:r w:rsidR="008568D2">
        <w:t xml:space="preserve"> and</w:t>
      </w:r>
      <w:r w:rsidR="00BA52C9">
        <w:t xml:space="preserve"> wi</w:t>
      </w:r>
      <w:r w:rsidR="00B65127">
        <w:t xml:space="preserve">ll </w:t>
      </w:r>
      <w:r w:rsidR="0048312D">
        <w:t xml:space="preserve">continue until </w:t>
      </w:r>
      <w:r w:rsidR="007A1484">
        <w:t>30 June 2024</w:t>
      </w:r>
      <w:r w:rsidR="00C85E5F">
        <w:t xml:space="preserve"> </w:t>
      </w:r>
      <w:r w:rsidR="000F779C">
        <w:t>or until</w:t>
      </w:r>
      <w:r w:rsidR="00C85E5F">
        <w:t xml:space="preserve"> </w:t>
      </w:r>
      <w:r w:rsidR="00762F99">
        <w:t xml:space="preserve">a </w:t>
      </w:r>
      <w:r w:rsidR="00762F99" w:rsidRPr="00762F99">
        <w:t xml:space="preserve">decision </w:t>
      </w:r>
      <w:r w:rsidR="008568D2">
        <w:t xml:space="preserve">is made </w:t>
      </w:r>
      <w:r w:rsidR="00762F99" w:rsidRPr="00762F99">
        <w:t>on the future consultative structure for the Office</w:t>
      </w:r>
      <w:r w:rsidR="00762F99">
        <w:t>.</w:t>
      </w:r>
    </w:p>
  </w:footnote>
  <w:footnote w:id="4">
    <w:p w14:paraId="0FFEF8B5" w14:textId="40F02E3A" w:rsidR="001C06E9" w:rsidRDefault="001C06E9" w:rsidP="00BE5FD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The Office has set an i</w:t>
      </w:r>
      <w:r>
        <w:rPr>
          <w:szCs w:val="22"/>
        </w:rPr>
        <w:t xml:space="preserve">nitial target of 70%. This will be reviewed and adjusted in future </w:t>
      </w:r>
      <w:r w:rsidR="00CF0032">
        <w:rPr>
          <w:szCs w:val="22"/>
        </w:rPr>
        <w:t xml:space="preserve">corporate </w:t>
      </w:r>
      <w:r>
        <w:rPr>
          <w:szCs w:val="22"/>
        </w:rPr>
        <w:t>plans when we will have a more accurate measure of how our findings are accepted.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F759" w14:textId="543B8AD9" w:rsidR="008725BD" w:rsidRDefault="00A6129A" w:rsidP="005D2CDE">
    <w:pPr>
      <w:pStyle w:val="Header"/>
    </w:pPr>
    <w:r>
      <w:rPr>
        <w:noProof/>
      </w:rPr>
      <w:drawing>
        <wp:anchor distT="0" distB="0" distL="114300" distR="114300" simplePos="0" relativeHeight="251652096" behindDoc="1" locked="0" layoutInCell="1" allowOverlap="1" wp14:anchorId="0B4A8997" wp14:editId="77F521FA">
          <wp:simplePos x="0" y="0"/>
          <wp:positionH relativeFrom="margin">
            <wp:posOffset>-700908</wp:posOffset>
          </wp:positionH>
          <wp:positionV relativeFrom="margin">
            <wp:posOffset>-779780</wp:posOffset>
          </wp:positionV>
          <wp:extent cx="590550" cy="59055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08CC" w14:textId="77777777" w:rsidR="008725BD" w:rsidRDefault="00A6129A" w:rsidP="005D2CD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AF5A490" wp14:editId="1A6BB9C4">
          <wp:simplePos x="0" y="0"/>
          <wp:positionH relativeFrom="margin">
            <wp:posOffset>-700908</wp:posOffset>
          </wp:positionH>
          <wp:positionV relativeFrom="margin">
            <wp:posOffset>-779780</wp:posOffset>
          </wp:positionV>
          <wp:extent cx="590550" cy="5905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44B"/>
    <w:multiLevelType w:val="multilevel"/>
    <w:tmpl w:val="6F7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2192A"/>
    <w:multiLevelType w:val="multilevel"/>
    <w:tmpl w:val="34C869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506"/>
    <w:multiLevelType w:val="hybridMultilevel"/>
    <w:tmpl w:val="90360B96"/>
    <w:lvl w:ilvl="0" w:tplc="E320BE4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667CF"/>
    <w:multiLevelType w:val="hybridMultilevel"/>
    <w:tmpl w:val="742067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170F2"/>
    <w:multiLevelType w:val="hybridMultilevel"/>
    <w:tmpl w:val="9C34145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95AFB"/>
    <w:multiLevelType w:val="hybridMultilevel"/>
    <w:tmpl w:val="2800DB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32045"/>
    <w:multiLevelType w:val="hybridMultilevel"/>
    <w:tmpl w:val="4A5636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700AEA"/>
    <w:multiLevelType w:val="hybridMultilevel"/>
    <w:tmpl w:val="B386D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4E5148"/>
    <w:multiLevelType w:val="hybridMultilevel"/>
    <w:tmpl w:val="FC944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6328"/>
    <w:multiLevelType w:val="multilevel"/>
    <w:tmpl w:val="64B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D723E1"/>
    <w:multiLevelType w:val="hybridMultilevel"/>
    <w:tmpl w:val="323C89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251926"/>
    <w:multiLevelType w:val="hybridMultilevel"/>
    <w:tmpl w:val="03983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A1D01"/>
    <w:multiLevelType w:val="hybridMultilevel"/>
    <w:tmpl w:val="E4203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D34D1"/>
    <w:multiLevelType w:val="hybridMultilevel"/>
    <w:tmpl w:val="C276B6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F95DE5"/>
    <w:multiLevelType w:val="hybridMultilevel"/>
    <w:tmpl w:val="BBD0B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80E3F"/>
    <w:multiLevelType w:val="hybridMultilevel"/>
    <w:tmpl w:val="58E83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A5CB1"/>
    <w:multiLevelType w:val="hybridMultilevel"/>
    <w:tmpl w:val="524C7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11E89"/>
    <w:multiLevelType w:val="hybridMultilevel"/>
    <w:tmpl w:val="2FECF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9232A"/>
    <w:multiLevelType w:val="hybridMultilevel"/>
    <w:tmpl w:val="871CB2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37BC1"/>
    <w:multiLevelType w:val="hybridMultilevel"/>
    <w:tmpl w:val="02A84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B66EB"/>
    <w:multiLevelType w:val="hybridMultilevel"/>
    <w:tmpl w:val="3C585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76FE0"/>
    <w:multiLevelType w:val="hybridMultilevel"/>
    <w:tmpl w:val="66E85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20804594">
    <w:abstractNumId w:val="12"/>
  </w:num>
  <w:num w:numId="2" w16cid:durableId="1556117909">
    <w:abstractNumId w:val="22"/>
  </w:num>
  <w:num w:numId="3" w16cid:durableId="965621989">
    <w:abstractNumId w:val="2"/>
  </w:num>
  <w:num w:numId="4" w16cid:durableId="84495377">
    <w:abstractNumId w:val="26"/>
  </w:num>
  <w:num w:numId="5" w16cid:durableId="1300108087">
    <w:abstractNumId w:val="3"/>
  </w:num>
  <w:num w:numId="6" w16cid:durableId="811169121">
    <w:abstractNumId w:val="9"/>
  </w:num>
  <w:num w:numId="7" w16cid:durableId="758597338">
    <w:abstractNumId w:val="23"/>
  </w:num>
  <w:num w:numId="8" w16cid:durableId="1456294782">
    <w:abstractNumId w:val="14"/>
  </w:num>
  <w:num w:numId="9" w16cid:durableId="1665476345">
    <w:abstractNumId w:val="20"/>
  </w:num>
  <w:num w:numId="10" w16cid:durableId="1341543308">
    <w:abstractNumId w:val="18"/>
  </w:num>
  <w:num w:numId="11" w16cid:durableId="1777673357">
    <w:abstractNumId w:val="17"/>
  </w:num>
  <w:num w:numId="12" w16cid:durableId="1482118808">
    <w:abstractNumId w:val="15"/>
  </w:num>
  <w:num w:numId="13" w16cid:durableId="1313287461">
    <w:abstractNumId w:val="5"/>
  </w:num>
  <w:num w:numId="14" w16cid:durableId="106656811">
    <w:abstractNumId w:val="21"/>
  </w:num>
  <w:num w:numId="15" w16cid:durableId="1419985990">
    <w:abstractNumId w:val="25"/>
  </w:num>
  <w:num w:numId="16" w16cid:durableId="1754887237">
    <w:abstractNumId w:val="13"/>
  </w:num>
  <w:num w:numId="17" w16cid:durableId="1939481567">
    <w:abstractNumId w:val="16"/>
  </w:num>
  <w:num w:numId="18" w16cid:durableId="384794098">
    <w:abstractNumId w:val="24"/>
  </w:num>
  <w:num w:numId="19" w16cid:durableId="82342095">
    <w:abstractNumId w:val="0"/>
  </w:num>
  <w:num w:numId="20" w16cid:durableId="1912887118">
    <w:abstractNumId w:val="6"/>
  </w:num>
  <w:num w:numId="21" w16cid:durableId="885721466">
    <w:abstractNumId w:val="11"/>
  </w:num>
  <w:num w:numId="22" w16cid:durableId="1126309577">
    <w:abstractNumId w:val="1"/>
  </w:num>
  <w:num w:numId="23" w16cid:durableId="282005034">
    <w:abstractNumId w:val="7"/>
  </w:num>
  <w:num w:numId="24" w16cid:durableId="577592707">
    <w:abstractNumId w:val="8"/>
  </w:num>
  <w:num w:numId="25" w16cid:durableId="1266114255">
    <w:abstractNumId w:val="19"/>
  </w:num>
  <w:num w:numId="26" w16cid:durableId="49037974">
    <w:abstractNumId w:val="10"/>
  </w:num>
  <w:num w:numId="27" w16cid:durableId="24353918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0D"/>
    <w:rsid w:val="0000173A"/>
    <w:rsid w:val="00003E84"/>
    <w:rsid w:val="00004B6F"/>
    <w:rsid w:val="00004DDA"/>
    <w:rsid w:val="0000512C"/>
    <w:rsid w:val="00005826"/>
    <w:rsid w:val="00005C49"/>
    <w:rsid w:val="00006FA9"/>
    <w:rsid w:val="00007173"/>
    <w:rsid w:val="000071A8"/>
    <w:rsid w:val="0001077D"/>
    <w:rsid w:val="00010A8E"/>
    <w:rsid w:val="00011800"/>
    <w:rsid w:val="00013506"/>
    <w:rsid w:val="000164A4"/>
    <w:rsid w:val="00017103"/>
    <w:rsid w:val="000177EA"/>
    <w:rsid w:val="00017867"/>
    <w:rsid w:val="0002050D"/>
    <w:rsid w:val="000209A5"/>
    <w:rsid w:val="00020C22"/>
    <w:rsid w:val="00023304"/>
    <w:rsid w:val="000245DD"/>
    <w:rsid w:val="000255FC"/>
    <w:rsid w:val="000278B0"/>
    <w:rsid w:val="00030B9B"/>
    <w:rsid w:val="00030CDC"/>
    <w:rsid w:val="000310D9"/>
    <w:rsid w:val="000322D0"/>
    <w:rsid w:val="00034B55"/>
    <w:rsid w:val="000364BA"/>
    <w:rsid w:val="000364C4"/>
    <w:rsid w:val="000371D2"/>
    <w:rsid w:val="00041939"/>
    <w:rsid w:val="0004250A"/>
    <w:rsid w:val="000442D8"/>
    <w:rsid w:val="00046CA1"/>
    <w:rsid w:val="00051C95"/>
    <w:rsid w:val="00052463"/>
    <w:rsid w:val="0005298A"/>
    <w:rsid w:val="0005301E"/>
    <w:rsid w:val="00053616"/>
    <w:rsid w:val="0005490A"/>
    <w:rsid w:val="0005601A"/>
    <w:rsid w:val="00063C77"/>
    <w:rsid w:val="00064C39"/>
    <w:rsid w:val="000655BE"/>
    <w:rsid w:val="00070A62"/>
    <w:rsid w:val="00074B59"/>
    <w:rsid w:val="0007530D"/>
    <w:rsid w:val="00075A39"/>
    <w:rsid w:val="00077F6F"/>
    <w:rsid w:val="00080D77"/>
    <w:rsid w:val="00082603"/>
    <w:rsid w:val="00082E88"/>
    <w:rsid w:val="00082F8D"/>
    <w:rsid w:val="0008326F"/>
    <w:rsid w:val="000846CF"/>
    <w:rsid w:val="00085E4B"/>
    <w:rsid w:val="00086CC2"/>
    <w:rsid w:val="0009160F"/>
    <w:rsid w:val="00094D69"/>
    <w:rsid w:val="00095595"/>
    <w:rsid w:val="00095827"/>
    <w:rsid w:val="00097596"/>
    <w:rsid w:val="000A1C02"/>
    <w:rsid w:val="000A1C7C"/>
    <w:rsid w:val="000A247A"/>
    <w:rsid w:val="000B0669"/>
    <w:rsid w:val="000B1AE4"/>
    <w:rsid w:val="000B1E8C"/>
    <w:rsid w:val="000B3220"/>
    <w:rsid w:val="000C4A01"/>
    <w:rsid w:val="000C5AD6"/>
    <w:rsid w:val="000C715F"/>
    <w:rsid w:val="000D0374"/>
    <w:rsid w:val="000D0C60"/>
    <w:rsid w:val="000D2F63"/>
    <w:rsid w:val="000D36DE"/>
    <w:rsid w:val="000D3D3F"/>
    <w:rsid w:val="000D3F2F"/>
    <w:rsid w:val="000D4D16"/>
    <w:rsid w:val="000D52CE"/>
    <w:rsid w:val="000D5332"/>
    <w:rsid w:val="000D62FA"/>
    <w:rsid w:val="000D6301"/>
    <w:rsid w:val="000D691A"/>
    <w:rsid w:val="000D6DB9"/>
    <w:rsid w:val="000D723C"/>
    <w:rsid w:val="000D7B95"/>
    <w:rsid w:val="000D7B9E"/>
    <w:rsid w:val="000E0864"/>
    <w:rsid w:val="000E0C6E"/>
    <w:rsid w:val="000E1432"/>
    <w:rsid w:val="000E2914"/>
    <w:rsid w:val="000E3FED"/>
    <w:rsid w:val="000E6AFA"/>
    <w:rsid w:val="000E7F5F"/>
    <w:rsid w:val="000F1FC7"/>
    <w:rsid w:val="000F3533"/>
    <w:rsid w:val="000F35F1"/>
    <w:rsid w:val="000F4DC8"/>
    <w:rsid w:val="000F779C"/>
    <w:rsid w:val="00100663"/>
    <w:rsid w:val="001007A4"/>
    <w:rsid w:val="00102EC8"/>
    <w:rsid w:val="00102F81"/>
    <w:rsid w:val="001044AA"/>
    <w:rsid w:val="0010740A"/>
    <w:rsid w:val="001100DD"/>
    <w:rsid w:val="001113B5"/>
    <w:rsid w:val="00112386"/>
    <w:rsid w:val="00112701"/>
    <w:rsid w:val="001140CD"/>
    <w:rsid w:val="00115347"/>
    <w:rsid w:val="00122BBB"/>
    <w:rsid w:val="0012512E"/>
    <w:rsid w:val="001251B0"/>
    <w:rsid w:val="00126E65"/>
    <w:rsid w:val="00132645"/>
    <w:rsid w:val="00133AC9"/>
    <w:rsid w:val="00133FDE"/>
    <w:rsid w:val="001354F4"/>
    <w:rsid w:val="001377F4"/>
    <w:rsid w:val="001402C5"/>
    <w:rsid w:val="00141278"/>
    <w:rsid w:val="00141EE3"/>
    <w:rsid w:val="00142B2E"/>
    <w:rsid w:val="001438E9"/>
    <w:rsid w:val="0014714F"/>
    <w:rsid w:val="00147B21"/>
    <w:rsid w:val="00150478"/>
    <w:rsid w:val="00150FF5"/>
    <w:rsid w:val="00153868"/>
    <w:rsid w:val="00154AD6"/>
    <w:rsid w:val="00154C4A"/>
    <w:rsid w:val="001565EB"/>
    <w:rsid w:val="00156C45"/>
    <w:rsid w:val="00160443"/>
    <w:rsid w:val="00161056"/>
    <w:rsid w:val="0016128D"/>
    <w:rsid w:val="0016376D"/>
    <w:rsid w:val="00164DE8"/>
    <w:rsid w:val="0016523E"/>
    <w:rsid w:val="001666CC"/>
    <w:rsid w:val="00166E57"/>
    <w:rsid w:val="001679C8"/>
    <w:rsid w:val="001702B3"/>
    <w:rsid w:val="001709BD"/>
    <w:rsid w:val="00170A48"/>
    <w:rsid w:val="00171620"/>
    <w:rsid w:val="00172F80"/>
    <w:rsid w:val="00173457"/>
    <w:rsid w:val="0017481A"/>
    <w:rsid w:val="001766C9"/>
    <w:rsid w:val="00176E17"/>
    <w:rsid w:val="001777C2"/>
    <w:rsid w:val="00177AA8"/>
    <w:rsid w:val="001809B6"/>
    <w:rsid w:val="001845F9"/>
    <w:rsid w:val="001848D8"/>
    <w:rsid w:val="0018767A"/>
    <w:rsid w:val="001900E6"/>
    <w:rsid w:val="00190636"/>
    <w:rsid w:val="00190BDE"/>
    <w:rsid w:val="00190CB9"/>
    <w:rsid w:val="00191979"/>
    <w:rsid w:val="00191F87"/>
    <w:rsid w:val="00193588"/>
    <w:rsid w:val="0019432F"/>
    <w:rsid w:val="00195394"/>
    <w:rsid w:val="00197928"/>
    <w:rsid w:val="001A3801"/>
    <w:rsid w:val="001A3A55"/>
    <w:rsid w:val="001A5EBA"/>
    <w:rsid w:val="001A683F"/>
    <w:rsid w:val="001A7CB6"/>
    <w:rsid w:val="001B125C"/>
    <w:rsid w:val="001B1A67"/>
    <w:rsid w:val="001B6431"/>
    <w:rsid w:val="001C06E9"/>
    <w:rsid w:val="001C14B4"/>
    <w:rsid w:val="001C22C2"/>
    <w:rsid w:val="001C3305"/>
    <w:rsid w:val="001C484E"/>
    <w:rsid w:val="001C4D98"/>
    <w:rsid w:val="001C65B5"/>
    <w:rsid w:val="001C65E9"/>
    <w:rsid w:val="001C7846"/>
    <w:rsid w:val="001D0305"/>
    <w:rsid w:val="001D050F"/>
    <w:rsid w:val="001D10D2"/>
    <w:rsid w:val="001D139C"/>
    <w:rsid w:val="001D1B97"/>
    <w:rsid w:val="001D1F27"/>
    <w:rsid w:val="001D57B8"/>
    <w:rsid w:val="001D581A"/>
    <w:rsid w:val="001D61F9"/>
    <w:rsid w:val="001E0741"/>
    <w:rsid w:val="001E1478"/>
    <w:rsid w:val="001E1D5F"/>
    <w:rsid w:val="001E1E06"/>
    <w:rsid w:val="001E28B8"/>
    <w:rsid w:val="001E51B6"/>
    <w:rsid w:val="001E5DC6"/>
    <w:rsid w:val="001E6C50"/>
    <w:rsid w:val="001E79FE"/>
    <w:rsid w:val="001F0026"/>
    <w:rsid w:val="001F0036"/>
    <w:rsid w:val="001F0568"/>
    <w:rsid w:val="001F24D1"/>
    <w:rsid w:val="001F4040"/>
    <w:rsid w:val="001F4375"/>
    <w:rsid w:val="001F4D33"/>
    <w:rsid w:val="002009F1"/>
    <w:rsid w:val="0020119E"/>
    <w:rsid w:val="00201E4B"/>
    <w:rsid w:val="00206C8D"/>
    <w:rsid w:val="00210E51"/>
    <w:rsid w:val="002116B4"/>
    <w:rsid w:val="00212352"/>
    <w:rsid w:val="00214F96"/>
    <w:rsid w:val="00215651"/>
    <w:rsid w:val="00215C96"/>
    <w:rsid w:val="00216E2F"/>
    <w:rsid w:val="0021725A"/>
    <w:rsid w:val="00223202"/>
    <w:rsid w:val="0022363F"/>
    <w:rsid w:val="00223709"/>
    <w:rsid w:val="00223FB2"/>
    <w:rsid w:val="002273E5"/>
    <w:rsid w:val="002276BD"/>
    <w:rsid w:val="00231762"/>
    <w:rsid w:val="0023420B"/>
    <w:rsid w:val="00235B81"/>
    <w:rsid w:val="00235DAA"/>
    <w:rsid w:val="002360DD"/>
    <w:rsid w:val="00236EE3"/>
    <w:rsid w:val="00240F1B"/>
    <w:rsid w:val="00241244"/>
    <w:rsid w:val="00241FFE"/>
    <w:rsid w:val="002433E8"/>
    <w:rsid w:val="00244122"/>
    <w:rsid w:val="00244FAB"/>
    <w:rsid w:val="002503AF"/>
    <w:rsid w:val="002535A2"/>
    <w:rsid w:val="00257A2C"/>
    <w:rsid w:val="002633D3"/>
    <w:rsid w:val="0026411E"/>
    <w:rsid w:val="00264DFC"/>
    <w:rsid w:val="0026796F"/>
    <w:rsid w:val="00272808"/>
    <w:rsid w:val="00272AAC"/>
    <w:rsid w:val="002742CB"/>
    <w:rsid w:val="00275AD8"/>
    <w:rsid w:val="00280050"/>
    <w:rsid w:val="00280370"/>
    <w:rsid w:val="00280C8F"/>
    <w:rsid w:val="00282DAE"/>
    <w:rsid w:val="00282F02"/>
    <w:rsid w:val="00283FE0"/>
    <w:rsid w:val="0028444D"/>
    <w:rsid w:val="00284CAA"/>
    <w:rsid w:val="0029069F"/>
    <w:rsid w:val="00291171"/>
    <w:rsid w:val="00295522"/>
    <w:rsid w:val="00296089"/>
    <w:rsid w:val="00296222"/>
    <w:rsid w:val="0029795C"/>
    <w:rsid w:val="00297DF0"/>
    <w:rsid w:val="00297E47"/>
    <w:rsid w:val="002A0FC5"/>
    <w:rsid w:val="002A1354"/>
    <w:rsid w:val="002A4069"/>
    <w:rsid w:val="002A5933"/>
    <w:rsid w:val="002B2ADE"/>
    <w:rsid w:val="002B2E12"/>
    <w:rsid w:val="002B3C9B"/>
    <w:rsid w:val="002B5101"/>
    <w:rsid w:val="002C059C"/>
    <w:rsid w:val="002C0B41"/>
    <w:rsid w:val="002C1942"/>
    <w:rsid w:val="002C4D36"/>
    <w:rsid w:val="002C7022"/>
    <w:rsid w:val="002C7C36"/>
    <w:rsid w:val="002D132B"/>
    <w:rsid w:val="002D3C93"/>
    <w:rsid w:val="002D5B4D"/>
    <w:rsid w:val="002D6042"/>
    <w:rsid w:val="002D6F97"/>
    <w:rsid w:val="002E0237"/>
    <w:rsid w:val="002E0B34"/>
    <w:rsid w:val="002E0DC9"/>
    <w:rsid w:val="002E14C4"/>
    <w:rsid w:val="002E4AD9"/>
    <w:rsid w:val="002E6570"/>
    <w:rsid w:val="002E6D01"/>
    <w:rsid w:val="002E7542"/>
    <w:rsid w:val="002E7FAE"/>
    <w:rsid w:val="002F42C1"/>
    <w:rsid w:val="002F53E5"/>
    <w:rsid w:val="00302610"/>
    <w:rsid w:val="00302662"/>
    <w:rsid w:val="00303264"/>
    <w:rsid w:val="003127B6"/>
    <w:rsid w:val="0031371F"/>
    <w:rsid w:val="00314C6D"/>
    <w:rsid w:val="0031764B"/>
    <w:rsid w:val="0032171B"/>
    <w:rsid w:val="00322208"/>
    <w:rsid w:val="00322280"/>
    <w:rsid w:val="00322902"/>
    <w:rsid w:val="003230CB"/>
    <w:rsid w:val="00323B88"/>
    <w:rsid w:val="0033079A"/>
    <w:rsid w:val="00337C99"/>
    <w:rsid w:val="0034058D"/>
    <w:rsid w:val="00340E28"/>
    <w:rsid w:val="00347FA2"/>
    <w:rsid w:val="003512E9"/>
    <w:rsid w:val="00351A97"/>
    <w:rsid w:val="00351F00"/>
    <w:rsid w:val="003533DD"/>
    <w:rsid w:val="00353C81"/>
    <w:rsid w:val="00354683"/>
    <w:rsid w:val="003551E6"/>
    <w:rsid w:val="00355913"/>
    <w:rsid w:val="00355CB1"/>
    <w:rsid w:val="0035624D"/>
    <w:rsid w:val="00360E50"/>
    <w:rsid w:val="0036155A"/>
    <w:rsid w:val="00361729"/>
    <w:rsid w:val="003622D7"/>
    <w:rsid w:val="00362BF4"/>
    <w:rsid w:val="0036335E"/>
    <w:rsid w:val="0036421E"/>
    <w:rsid w:val="00365F22"/>
    <w:rsid w:val="0036670A"/>
    <w:rsid w:val="00370B56"/>
    <w:rsid w:val="003724EB"/>
    <w:rsid w:val="003728C6"/>
    <w:rsid w:val="00373ABD"/>
    <w:rsid w:val="0037496C"/>
    <w:rsid w:val="00375191"/>
    <w:rsid w:val="003802D3"/>
    <w:rsid w:val="0038290B"/>
    <w:rsid w:val="003831A7"/>
    <w:rsid w:val="0038440C"/>
    <w:rsid w:val="00384469"/>
    <w:rsid w:val="00385646"/>
    <w:rsid w:val="00385F5F"/>
    <w:rsid w:val="0038642E"/>
    <w:rsid w:val="003873FD"/>
    <w:rsid w:val="00391641"/>
    <w:rsid w:val="003933E3"/>
    <w:rsid w:val="0039383B"/>
    <w:rsid w:val="00393B5B"/>
    <w:rsid w:val="00395891"/>
    <w:rsid w:val="003966E8"/>
    <w:rsid w:val="00396CCC"/>
    <w:rsid w:val="00396DC2"/>
    <w:rsid w:val="003971CB"/>
    <w:rsid w:val="00397BCA"/>
    <w:rsid w:val="003A1F45"/>
    <w:rsid w:val="003A1FD9"/>
    <w:rsid w:val="003A4444"/>
    <w:rsid w:val="003A5BBC"/>
    <w:rsid w:val="003A6060"/>
    <w:rsid w:val="003A63FF"/>
    <w:rsid w:val="003A75B0"/>
    <w:rsid w:val="003B101F"/>
    <w:rsid w:val="003B1B14"/>
    <w:rsid w:val="003B29AE"/>
    <w:rsid w:val="003B4223"/>
    <w:rsid w:val="003B45F3"/>
    <w:rsid w:val="003B7D2F"/>
    <w:rsid w:val="003C0103"/>
    <w:rsid w:val="003C0183"/>
    <w:rsid w:val="003C01F0"/>
    <w:rsid w:val="003C0D40"/>
    <w:rsid w:val="003C0F87"/>
    <w:rsid w:val="003C1492"/>
    <w:rsid w:val="003C1531"/>
    <w:rsid w:val="003C3D45"/>
    <w:rsid w:val="003C3E6B"/>
    <w:rsid w:val="003C4CA1"/>
    <w:rsid w:val="003C5B4D"/>
    <w:rsid w:val="003C6B8D"/>
    <w:rsid w:val="003C7745"/>
    <w:rsid w:val="003C7937"/>
    <w:rsid w:val="003D018A"/>
    <w:rsid w:val="003D0464"/>
    <w:rsid w:val="003D187D"/>
    <w:rsid w:val="003D2CA9"/>
    <w:rsid w:val="003D410D"/>
    <w:rsid w:val="003D5784"/>
    <w:rsid w:val="003D5F23"/>
    <w:rsid w:val="003D69FD"/>
    <w:rsid w:val="003E00BD"/>
    <w:rsid w:val="003E0582"/>
    <w:rsid w:val="003E10BC"/>
    <w:rsid w:val="003E2AB7"/>
    <w:rsid w:val="003E4551"/>
    <w:rsid w:val="003E4A83"/>
    <w:rsid w:val="003E6DD2"/>
    <w:rsid w:val="003F2376"/>
    <w:rsid w:val="003F24FA"/>
    <w:rsid w:val="003F3A4A"/>
    <w:rsid w:val="003F42DB"/>
    <w:rsid w:val="003F71E0"/>
    <w:rsid w:val="003F7A70"/>
    <w:rsid w:val="00400737"/>
    <w:rsid w:val="0040286F"/>
    <w:rsid w:val="0040467D"/>
    <w:rsid w:val="004068AD"/>
    <w:rsid w:val="00406D65"/>
    <w:rsid w:val="004077C3"/>
    <w:rsid w:val="004079F2"/>
    <w:rsid w:val="00413ECA"/>
    <w:rsid w:val="004142EE"/>
    <w:rsid w:val="004145D0"/>
    <w:rsid w:val="00416D96"/>
    <w:rsid w:val="004200D9"/>
    <w:rsid w:val="00420446"/>
    <w:rsid w:val="0042107F"/>
    <w:rsid w:val="00421210"/>
    <w:rsid w:val="004243CE"/>
    <w:rsid w:val="00426835"/>
    <w:rsid w:val="00427979"/>
    <w:rsid w:val="00427D0C"/>
    <w:rsid w:val="00431278"/>
    <w:rsid w:val="00431438"/>
    <w:rsid w:val="004334E9"/>
    <w:rsid w:val="0043472D"/>
    <w:rsid w:val="00437534"/>
    <w:rsid w:val="00437CD1"/>
    <w:rsid w:val="00442E06"/>
    <w:rsid w:val="00442FEB"/>
    <w:rsid w:val="00443A13"/>
    <w:rsid w:val="004453BE"/>
    <w:rsid w:val="004462C5"/>
    <w:rsid w:val="00447958"/>
    <w:rsid w:val="004510B9"/>
    <w:rsid w:val="004514F6"/>
    <w:rsid w:val="00455C79"/>
    <w:rsid w:val="00456718"/>
    <w:rsid w:val="00456F45"/>
    <w:rsid w:val="00460702"/>
    <w:rsid w:val="0046352C"/>
    <w:rsid w:val="00466626"/>
    <w:rsid w:val="004675E9"/>
    <w:rsid w:val="00473BD7"/>
    <w:rsid w:val="00477DFD"/>
    <w:rsid w:val="00477EB4"/>
    <w:rsid w:val="004809D7"/>
    <w:rsid w:val="00480FF0"/>
    <w:rsid w:val="00483018"/>
    <w:rsid w:val="0048312D"/>
    <w:rsid w:val="004832BB"/>
    <w:rsid w:val="00483707"/>
    <w:rsid w:val="00484431"/>
    <w:rsid w:val="00485798"/>
    <w:rsid w:val="00490EA7"/>
    <w:rsid w:val="00490F91"/>
    <w:rsid w:val="00492222"/>
    <w:rsid w:val="00492AF5"/>
    <w:rsid w:val="00492E6F"/>
    <w:rsid w:val="00495734"/>
    <w:rsid w:val="00496CF7"/>
    <w:rsid w:val="00497E1D"/>
    <w:rsid w:val="004A2071"/>
    <w:rsid w:val="004A44F0"/>
    <w:rsid w:val="004A604D"/>
    <w:rsid w:val="004A62DC"/>
    <w:rsid w:val="004A6400"/>
    <w:rsid w:val="004B1429"/>
    <w:rsid w:val="004B36C2"/>
    <w:rsid w:val="004B6A8B"/>
    <w:rsid w:val="004B6D47"/>
    <w:rsid w:val="004C1AD9"/>
    <w:rsid w:val="004C23A3"/>
    <w:rsid w:val="004C499A"/>
    <w:rsid w:val="004C5143"/>
    <w:rsid w:val="004C5150"/>
    <w:rsid w:val="004C63D5"/>
    <w:rsid w:val="004C7DCF"/>
    <w:rsid w:val="004D15FC"/>
    <w:rsid w:val="004D250D"/>
    <w:rsid w:val="004D29B2"/>
    <w:rsid w:val="004E0149"/>
    <w:rsid w:val="004E0820"/>
    <w:rsid w:val="004E26E2"/>
    <w:rsid w:val="004E2B25"/>
    <w:rsid w:val="004E3330"/>
    <w:rsid w:val="004E48B5"/>
    <w:rsid w:val="004E4ACB"/>
    <w:rsid w:val="004F0D78"/>
    <w:rsid w:val="004F24C9"/>
    <w:rsid w:val="004F275F"/>
    <w:rsid w:val="004F3A7B"/>
    <w:rsid w:val="004F3B23"/>
    <w:rsid w:val="004F3EA5"/>
    <w:rsid w:val="004F5341"/>
    <w:rsid w:val="004F5615"/>
    <w:rsid w:val="004F5804"/>
    <w:rsid w:val="004F74D7"/>
    <w:rsid w:val="004F7E16"/>
    <w:rsid w:val="00500CDB"/>
    <w:rsid w:val="0050344D"/>
    <w:rsid w:val="005040D7"/>
    <w:rsid w:val="005052BE"/>
    <w:rsid w:val="0050660D"/>
    <w:rsid w:val="00506C04"/>
    <w:rsid w:val="005070EB"/>
    <w:rsid w:val="00507A12"/>
    <w:rsid w:val="005100E2"/>
    <w:rsid w:val="00510666"/>
    <w:rsid w:val="00511214"/>
    <w:rsid w:val="00511942"/>
    <w:rsid w:val="00512B16"/>
    <w:rsid w:val="00513CBA"/>
    <w:rsid w:val="0051421F"/>
    <w:rsid w:val="00515E12"/>
    <w:rsid w:val="00520748"/>
    <w:rsid w:val="005212FD"/>
    <w:rsid w:val="005213D6"/>
    <w:rsid w:val="00523E1C"/>
    <w:rsid w:val="00524BB9"/>
    <w:rsid w:val="00524E90"/>
    <w:rsid w:val="00526919"/>
    <w:rsid w:val="00526A93"/>
    <w:rsid w:val="00531E22"/>
    <w:rsid w:val="005323E1"/>
    <w:rsid w:val="005336F5"/>
    <w:rsid w:val="00533BC9"/>
    <w:rsid w:val="0053447A"/>
    <w:rsid w:val="00541C0D"/>
    <w:rsid w:val="0054226A"/>
    <w:rsid w:val="005457F5"/>
    <w:rsid w:val="00546D5F"/>
    <w:rsid w:val="00551271"/>
    <w:rsid w:val="00551446"/>
    <w:rsid w:val="00551D21"/>
    <w:rsid w:val="005526BA"/>
    <w:rsid w:val="005540A1"/>
    <w:rsid w:val="00557782"/>
    <w:rsid w:val="005628BE"/>
    <w:rsid w:val="00563B68"/>
    <w:rsid w:val="005667FE"/>
    <w:rsid w:val="00566836"/>
    <w:rsid w:val="00566B11"/>
    <w:rsid w:val="005678EB"/>
    <w:rsid w:val="00567C22"/>
    <w:rsid w:val="00570619"/>
    <w:rsid w:val="005722A3"/>
    <w:rsid w:val="0057230B"/>
    <w:rsid w:val="00573A48"/>
    <w:rsid w:val="00574FC2"/>
    <w:rsid w:val="00575218"/>
    <w:rsid w:val="00575BF1"/>
    <w:rsid w:val="0057792A"/>
    <w:rsid w:val="00577AFD"/>
    <w:rsid w:val="005800D7"/>
    <w:rsid w:val="00581AE4"/>
    <w:rsid w:val="005845ED"/>
    <w:rsid w:val="00586C16"/>
    <w:rsid w:val="005873C5"/>
    <w:rsid w:val="005921FB"/>
    <w:rsid w:val="00593F77"/>
    <w:rsid w:val="00594874"/>
    <w:rsid w:val="00595C7C"/>
    <w:rsid w:val="00595EC7"/>
    <w:rsid w:val="00596846"/>
    <w:rsid w:val="005970B8"/>
    <w:rsid w:val="005974EC"/>
    <w:rsid w:val="00597C7E"/>
    <w:rsid w:val="00597F77"/>
    <w:rsid w:val="005A0D4D"/>
    <w:rsid w:val="005A0DB7"/>
    <w:rsid w:val="005A196D"/>
    <w:rsid w:val="005A393F"/>
    <w:rsid w:val="005A3A6F"/>
    <w:rsid w:val="005A45BA"/>
    <w:rsid w:val="005A5EC5"/>
    <w:rsid w:val="005A64D3"/>
    <w:rsid w:val="005A703B"/>
    <w:rsid w:val="005A72F0"/>
    <w:rsid w:val="005B1DA2"/>
    <w:rsid w:val="005B3923"/>
    <w:rsid w:val="005B4710"/>
    <w:rsid w:val="005B525D"/>
    <w:rsid w:val="005B5C0E"/>
    <w:rsid w:val="005C003D"/>
    <w:rsid w:val="005C4C58"/>
    <w:rsid w:val="005C6E3D"/>
    <w:rsid w:val="005C6F7E"/>
    <w:rsid w:val="005C7959"/>
    <w:rsid w:val="005D0769"/>
    <w:rsid w:val="005D2CDE"/>
    <w:rsid w:val="005D35BF"/>
    <w:rsid w:val="005D3C41"/>
    <w:rsid w:val="005D3E10"/>
    <w:rsid w:val="005D49E3"/>
    <w:rsid w:val="005D4DD3"/>
    <w:rsid w:val="005D5B2E"/>
    <w:rsid w:val="005D5E4F"/>
    <w:rsid w:val="005D682B"/>
    <w:rsid w:val="005E069A"/>
    <w:rsid w:val="005E147B"/>
    <w:rsid w:val="005E25E5"/>
    <w:rsid w:val="005E35BA"/>
    <w:rsid w:val="005E379B"/>
    <w:rsid w:val="005E3C45"/>
    <w:rsid w:val="005E3ECE"/>
    <w:rsid w:val="005E4E14"/>
    <w:rsid w:val="005E584C"/>
    <w:rsid w:val="005E5A1F"/>
    <w:rsid w:val="005E60F8"/>
    <w:rsid w:val="005E79AC"/>
    <w:rsid w:val="005E7A1A"/>
    <w:rsid w:val="005F0925"/>
    <w:rsid w:val="005F10DB"/>
    <w:rsid w:val="005F33D6"/>
    <w:rsid w:val="005F4155"/>
    <w:rsid w:val="005F47B3"/>
    <w:rsid w:val="005F5AE8"/>
    <w:rsid w:val="005F5E8F"/>
    <w:rsid w:val="0060578D"/>
    <w:rsid w:val="0060702F"/>
    <w:rsid w:val="006078A9"/>
    <w:rsid w:val="006105F4"/>
    <w:rsid w:val="00610FF0"/>
    <w:rsid w:val="00611D3E"/>
    <w:rsid w:val="00612854"/>
    <w:rsid w:val="006131DD"/>
    <w:rsid w:val="006164D7"/>
    <w:rsid w:val="00620A50"/>
    <w:rsid w:val="00620D12"/>
    <w:rsid w:val="00621B3C"/>
    <w:rsid w:val="006300FC"/>
    <w:rsid w:val="00630221"/>
    <w:rsid w:val="00632BF6"/>
    <w:rsid w:val="006349EF"/>
    <w:rsid w:val="00635431"/>
    <w:rsid w:val="0063552A"/>
    <w:rsid w:val="0063563E"/>
    <w:rsid w:val="00635746"/>
    <w:rsid w:val="006358F2"/>
    <w:rsid w:val="00636098"/>
    <w:rsid w:val="006361CD"/>
    <w:rsid w:val="0063667C"/>
    <w:rsid w:val="00643760"/>
    <w:rsid w:val="00643984"/>
    <w:rsid w:val="00644212"/>
    <w:rsid w:val="0064476F"/>
    <w:rsid w:val="00644C1D"/>
    <w:rsid w:val="00645A47"/>
    <w:rsid w:val="0065121E"/>
    <w:rsid w:val="00651804"/>
    <w:rsid w:val="0065307F"/>
    <w:rsid w:val="0065511F"/>
    <w:rsid w:val="00656DE0"/>
    <w:rsid w:val="006571DE"/>
    <w:rsid w:val="00657370"/>
    <w:rsid w:val="006577EE"/>
    <w:rsid w:val="00657A8E"/>
    <w:rsid w:val="00660659"/>
    <w:rsid w:val="006608FB"/>
    <w:rsid w:val="00661E0E"/>
    <w:rsid w:val="00662BDF"/>
    <w:rsid w:val="00663873"/>
    <w:rsid w:val="00664C94"/>
    <w:rsid w:val="00666152"/>
    <w:rsid w:val="00672EE5"/>
    <w:rsid w:val="00674979"/>
    <w:rsid w:val="006756EA"/>
    <w:rsid w:val="006771CF"/>
    <w:rsid w:val="00677D7E"/>
    <w:rsid w:val="006835F3"/>
    <w:rsid w:val="00683D62"/>
    <w:rsid w:val="00683DB2"/>
    <w:rsid w:val="006848F1"/>
    <w:rsid w:val="00690CDE"/>
    <w:rsid w:val="0069144F"/>
    <w:rsid w:val="00692BB5"/>
    <w:rsid w:val="0069497A"/>
    <w:rsid w:val="00694B36"/>
    <w:rsid w:val="006955BB"/>
    <w:rsid w:val="006958C4"/>
    <w:rsid w:val="00696698"/>
    <w:rsid w:val="00697949"/>
    <w:rsid w:val="00697CD5"/>
    <w:rsid w:val="006A0210"/>
    <w:rsid w:val="006A0F07"/>
    <w:rsid w:val="006A182B"/>
    <w:rsid w:val="006A1946"/>
    <w:rsid w:val="006A1DEC"/>
    <w:rsid w:val="006A2361"/>
    <w:rsid w:val="006A2CC9"/>
    <w:rsid w:val="006A33A9"/>
    <w:rsid w:val="006A34BB"/>
    <w:rsid w:val="006A42A7"/>
    <w:rsid w:val="006A6106"/>
    <w:rsid w:val="006A61D8"/>
    <w:rsid w:val="006A77D8"/>
    <w:rsid w:val="006B15F4"/>
    <w:rsid w:val="006B30A3"/>
    <w:rsid w:val="006B53E2"/>
    <w:rsid w:val="006C086E"/>
    <w:rsid w:val="006C09CA"/>
    <w:rsid w:val="006C2683"/>
    <w:rsid w:val="006C2E54"/>
    <w:rsid w:val="006C3E39"/>
    <w:rsid w:val="006D0F61"/>
    <w:rsid w:val="006D1877"/>
    <w:rsid w:val="006D1DA7"/>
    <w:rsid w:val="006D376B"/>
    <w:rsid w:val="006D38A5"/>
    <w:rsid w:val="006D5543"/>
    <w:rsid w:val="006D6648"/>
    <w:rsid w:val="006D6E89"/>
    <w:rsid w:val="006D731B"/>
    <w:rsid w:val="006E5474"/>
    <w:rsid w:val="006E58B7"/>
    <w:rsid w:val="006E64CA"/>
    <w:rsid w:val="006E6518"/>
    <w:rsid w:val="006E69B8"/>
    <w:rsid w:val="006F095D"/>
    <w:rsid w:val="006F1D03"/>
    <w:rsid w:val="006F1EFC"/>
    <w:rsid w:val="006F4E0E"/>
    <w:rsid w:val="006F5C13"/>
    <w:rsid w:val="00702C8D"/>
    <w:rsid w:val="007032B9"/>
    <w:rsid w:val="00706D3B"/>
    <w:rsid w:val="007074E0"/>
    <w:rsid w:val="007075E0"/>
    <w:rsid w:val="00710A03"/>
    <w:rsid w:val="00710AE4"/>
    <w:rsid w:val="0071312D"/>
    <w:rsid w:val="00713344"/>
    <w:rsid w:val="00715486"/>
    <w:rsid w:val="007171FF"/>
    <w:rsid w:val="00721400"/>
    <w:rsid w:val="0072172C"/>
    <w:rsid w:val="0072238F"/>
    <w:rsid w:val="00722E73"/>
    <w:rsid w:val="00723097"/>
    <w:rsid w:val="007242DD"/>
    <w:rsid w:val="007268E4"/>
    <w:rsid w:val="00726C20"/>
    <w:rsid w:val="007271B0"/>
    <w:rsid w:val="0072731C"/>
    <w:rsid w:val="00727AF9"/>
    <w:rsid w:val="00730458"/>
    <w:rsid w:val="00732A82"/>
    <w:rsid w:val="00733835"/>
    <w:rsid w:val="00735EC3"/>
    <w:rsid w:val="0074096B"/>
    <w:rsid w:val="007419FB"/>
    <w:rsid w:val="00742F5E"/>
    <w:rsid w:val="0074662D"/>
    <w:rsid w:val="00746A71"/>
    <w:rsid w:val="00746B02"/>
    <w:rsid w:val="007516B9"/>
    <w:rsid w:val="00753137"/>
    <w:rsid w:val="007566F4"/>
    <w:rsid w:val="00757294"/>
    <w:rsid w:val="00757380"/>
    <w:rsid w:val="007579BC"/>
    <w:rsid w:val="007606F2"/>
    <w:rsid w:val="00761582"/>
    <w:rsid w:val="00761BAE"/>
    <w:rsid w:val="00761E8D"/>
    <w:rsid w:val="0076266A"/>
    <w:rsid w:val="00762B29"/>
    <w:rsid w:val="00762F99"/>
    <w:rsid w:val="00763017"/>
    <w:rsid w:val="00764746"/>
    <w:rsid w:val="00764F81"/>
    <w:rsid w:val="00765CEC"/>
    <w:rsid w:val="00766697"/>
    <w:rsid w:val="00771273"/>
    <w:rsid w:val="0077141C"/>
    <w:rsid w:val="00774D5A"/>
    <w:rsid w:val="00780833"/>
    <w:rsid w:val="0078174E"/>
    <w:rsid w:val="00784DE7"/>
    <w:rsid w:val="0078570A"/>
    <w:rsid w:val="007906FB"/>
    <w:rsid w:val="0079113A"/>
    <w:rsid w:val="0079138B"/>
    <w:rsid w:val="007932C7"/>
    <w:rsid w:val="00793667"/>
    <w:rsid w:val="007957D8"/>
    <w:rsid w:val="00795D8C"/>
    <w:rsid w:val="007A03E2"/>
    <w:rsid w:val="007A05A0"/>
    <w:rsid w:val="007A10F9"/>
    <w:rsid w:val="007A12B1"/>
    <w:rsid w:val="007A1484"/>
    <w:rsid w:val="007A3331"/>
    <w:rsid w:val="007A3BCD"/>
    <w:rsid w:val="007A3DE1"/>
    <w:rsid w:val="007A47F2"/>
    <w:rsid w:val="007A66CC"/>
    <w:rsid w:val="007A790A"/>
    <w:rsid w:val="007A79F9"/>
    <w:rsid w:val="007A7C65"/>
    <w:rsid w:val="007B1718"/>
    <w:rsid w:val="007B184D"/>
    <w:rsid w:val="007B1C12"/>
    <w:rsid w:val="007B251E"/>
    <w:rsid w:val="007B25C4"/>
    <w:rsid w:val="007B2F3A"/>
    <w:rsid w:val="007B2F9F"/>
    <w:rsid w:val="007B753D"/>
    <w:rsid w:val="007C20C7"/>
    <w:rsid w:val="007C2E50"/>
    <w:rsid w:val="007C2EC1"/>
    <w:rsid w:val="007C3505"/>
    <w:rsid w:val="007C455D"/>
    <w:rsid w:val="007C7D8B"/>
    <w:rsid w:val="007C7DF5"/>
    <w:rsid w:val="007D128A"/>
    <w:rsid w:val="007D32E1"/>
    <w:rsid w:val="007D4AD8"/>
    <w:rsid w:val="007D6ED1"/>
    <w:rsid w:val="007E110D"/>
    <w:rsid w:val="007E19F9"/>
    <w:rsid w:val="007E2E22"/>
    <w:rsid w:val="007E4815"/>
    <w:rsid w:val="007E5204"/>
    <w:rsid w:val="007E6F2F"/>
    <w:rsid w:val="007F1439"/>
    <w:rsid w:val="007F1BEC"/>
    <w:rsid w:val="007F20A9"/>
    <w:rsid w:val="007F3BBE"/>
    <w:rsid w:val="007F4D34"/>
    <w:rsid w:val="008003A2"/>
    <w:rsid w:val="00801004"/>
    <w:rsid w:val="008053C2"/>
    <w:rsid w:val="00807510"/>
    <w:rsid w:val="008101AE"/>
    <w:rsid w:val="0081048C"/>
    <w:rsid w:val="00810AF3"/>
    <w:rsid w:val="0081288E"/>
    <w:rsid w:val="00814B76"/>
    <w:rsid w:val="0081727B"/>
    <w:rsid w:val="00822896"/>
    <w:rsid w:val="00825757"/>
    <w:rsid w:val="00825E6F"/>
    <w:rsid w:val="0082748B"/>
    <w:rsid w:val="00827C1E"/>
    <w:rsid w:val="00827D7F"/>
    <w:rsid w:val="00830934"/>
    <w:rsid w:val="00832374"/>
    <w:rsid w:val="00833728"/>
    <w:rsid w:val="00833C9E"/>
    <w:rsid w:val="00840278"/>
    <w:rsid w:val="0084184B"/>
    <w:rsid w:val="008434EB"/>
    <w:rsid w:val="0084571F"/>
    <w:rsid w:val="008465DD"/>
    <w:rsid w:val="008468CA"/>
    <w:rsid w:val="00850284"/>
    <w:rsid w:val="0085165F"/>
    <w:rsid w:val="008568D2"/>
    <w:rsid w:val="0086052B"/>
    <w:rsid w:val="008605D1"/>
    <w:rsid w:val="00862210"/>
    <w:rsid w:val="008637E4"/>
    <w:rsid w:val="00865FFC"/>
    <w:rsid w:val="008660AC"/>
    <w:rsid w:val="00867456"/>
    <w:rsid w:val="00867621"/>
    <w:rsid w:val="0087018F"/>
    <w:rsid w:val="008712C9"/>
    <w:rsid w:val="008722FE"/>
    <w:rsid w:val="008725BD"/>
    <w:rsid w:val="008728B6"/>
    <w:rsid w:val="0087378E"/>
    <w:rsid w:val="00874299"/>
    <w:rsid w:val="00875FE2"/>
    <w:rsid w:val="00880089"/>
    <w:rsid w:val="0088417C"/>
    <w:rsid w:val="00884778"/>
    <w:rsid w:val="008852F0"/>
    <w:rsid w:val="00886357"/>
    <w:rsid w:val="0088681D"/>
    <w:rsid w:val="00887424"/>
    <w:rsid w:val="0089005C"/>
    <w:rsid w:val="00890880"/>
    <w:rsid w:val="008A425C"/>
    <w:rsid w:val="008A4D47"/>
    <w:rsid w:val="008A6B65"/>
    <w:rsid w:val="008A6E90"/>
    <w:rsid w:val="008A70F4"/>
    <w:rsid w:val="008B0158"/>
    <w:rsid w:val="008B0955"/>
    <w:rsid w:val="008B0E23"/>
    <w:rsid w:val="008B2B28"/>
    <w:rsid w:val="008B7F68"/>
    <w:rsid w:val="008B7F89"/>
    <w:rsid w:val="008C1157"/>
    <w:rsid w:val="008C31B1"/>
    <w:rsid w:val="008C5252"/>
    <w:rsid w:val="008C7011"/>
    <w:rsid w:val="008C7185"/>
    <w:rsid w:val="008C7EB0"/>
    <w:rsid w:val="008D0394"/>
    <w:rsid w:val="008D205D"/>
    <w:rsid w:val="008D2928"/>
    <w:rsid w:val="008D48B4"/>
    <w:rsid w:val="008D4C39"/>
    <w:rsid w:val="008D53E2"/>
    <w:rsid w:val="008E1AF2"/>
    <w:rsid w:val="008E2FD7"/>
    <w:rsid w:val="008E5044"/>
    <w:rsid w:val="008E6A7A"/>
    <w:rsid w:val="008E73B0"/>
    <w:rsid w:val="008F1224"/>
    <w:rsid w:val="008F1765"/>
    <w:rsid w:val="008F28B9"/>
    <w:rsid w:val="008F30AE"/>
    <w:rsid w:val="008F3CD8"/>
    <w:rsid w:val="008F5EA9"/>
    <w:rsid w:val="00903078"/>
    <w:rsid w:val="00903BA2"/>
    <w:rsid w:val="00904061"/>
    <w:rsid w:val="009047AA"/>
    <w:rsid w:val="00904F1F"/>
    <w:rsid w:val="00906A7E"/>
    <w:rsid w:val="00907C5B"/>
    <w:rsid w:val="009101BC"/>
    <w:rsid w:val="00910471"/>
    <w:rsid w:val="00911201"/>
    <w:rsid w:val="009143B3"/>
    <w:rsid w:val="00915516"/>
    <w:rsid w:val="00915B01"/>
    <w:rsid w:val="00916CF5"/>
    <w:rsid w:val="00916F61"/>
    <w:rsid w:val="009178DD"/>
    <w:rsid w:val="009204E7"/>
    <w:rsid w:val="00922DCF"/>
    <w:rsid w:val="00925814"/>
    <w:rsid w:val="0092668E"/>
    <w:rsid w:val="0093052E"/>
    <w:rsid w:val="00930A4E"/>
    <w:rsid w:val="0093323E"/>
    <w:rsid w:val="009336C8"/>
    <w:rsid w:val="00934420"/>
    <w:rsid w:val="0093465A"/>
    <w:rsid w:val="0093573A"/>
    <w:rsid w:val="00941F13"/>
    <w:rsid w:val="00943374"/>
    <w:rsid w:val="00943C45"/>
    <w:rsid w:val="009446BA"/>
    <w:rsid w:val="00946433"/>
    <w:rsid w:val="009476B5"/>
    <w:rsid w:val="00947F05"/>
    <w:rsid w:val="00951B7C"/>
    <w:rsid w:val="009521F8"/>
    <w:rsid w:val="0095294B"/>
    <w:rsid w:val="00952F92"/>
    <w:rsid w:val="0095325B"/>
    <w:rsid w:val="0095326F"/>
    <w:rsid w:val="00954701"/>
    <w:rsid w:val="009548D5"/>
    <w:rsid w:val="009574A0"/>
    <w:rsid w:val="00957C72"/>
    <w:rsid w:val="0096051A"/>
    <w:rsid w:val="0096287F"/>
    <w:rsid w:val="00963E6D"/>
    <w:rsid w:val="009724E7"/>
    <w:rsid w:val="00972A41"/>
    <w:rsid w:val="00973CDF"/>
    <w:rsid w:val="009740B2"/>
    <w:rsid w:val="00974B14"/>
    <w:rsid w:val="00982E14"/>
    <w:rsid w:val="009832F1"/>
    <w:rsid w:val="00983EE4"/>
    <w:rsid w:val="00984484"/>
    <w:rsid w:val="00984C94"/>
    <w:rsid w:val="00984E23"/>
    <w:rsid w:val="00985297"/>
    <w:rsid w:val="0098738B"/>
    <w:rsid w:val="009919EA"/>
    <w:rsid w:val="00993E26"/>
    <w:rsid w:val="00994AA0"/>
    <w:rsid w:val="00995B0C"/>
    <w:rsid w:val="009A04D3"/>
    <w:rsid w:val="009A0F79"/>
    <w:rsid w:val="009A2041"/>
    <w:rsid w:val="009A222F"/>
    <w:rsid w:val="009A239D"/>
    <w:rsid w:val="009A3D34"/>
    <w:rsid w:val="009A5C91"/>
    <w:rsid w:val="009A5D88"/>
    <w:rsid w:val="009A62D1"/>
    <w:rsid w:val="009B047D"/>
    <w:rsid w:val="009B06EC"/>
    <w:rsid w:val="009B096E"/>
    <w:rsid w:val="009B1B1A"/>
    <w:rsid w:val="009B2928"/>
    <w:rsid w:val="009B2E57"/>
    <w:rsid w:val="009B5578"/>
    <w:rsid w:val="009C0384"/>
    <w:rsid w:val="009C284D"/>
    <w:rsid w:val="009C2C81"/>
    <w:rsid w:val="009C672F"/>
    <w:rsid w:val="009C689E"/>
    <w:rsid w:val="009D0DB3"/>
    <w:rsid w:val="009D1A86"/>
    <w:rsid w:val="009D314E"/>
    <w:rsid w:val="009D447E"/>
    <w:rsid w:val="009D618C"/>
    <w:rsid w:val="009D6652"/>
    <w:rsid w:val="009D6A01"/>
    <w:rsid w:val="009D6D20"/>
    <w:rsid w:val="009E1EC6"/>
    <w:rsid w:val="009E5ECF"/>
    <w:rsid w:val="009E60A6"/>
    <w:rsid w:val="009E60E6"/>
    <w:rsid w:val="009E7E45"/>
    <w:rsid w:val="009F08D8"/>
    <w:rsid w:val="009F0F1C"/>
    <w:rsid w:val="009F1810"/>
    <w:rsid w:val="009F298B"/>
    <w:rsid w:val="009F2AEC"/>
    <w:rsid w:val="009F66B7"/>
    <w:rsid w:val="009F6AD5"/>
    <w:rsid w:val="00A013CE"/>
    <w:rsid w:val="00A01CA2"/>
    <w:rsid w:val="00A03F6C"/>
    <w:rsid w:val="00A04711"/>
    <w:rsid w:val="00A06BCC"/>
    <w:rsid w:val="00A10437"/>
    <w:rsid w:val="00A108F2"/>
    <w:rsid w:val="00A109E8"/>
    <w:rsid w:val="00A123F9"/>
    <w:rsid w:val="00A14AF2"/>
    <w:rsid w:val="00A15FBC"/>
    <w:rsid w:val="00A1647C"/>
    <w:rsid w:val="00A166B7"/>
    <w:rsid w:val="00A17409"/>
    <w:rsid w:val="00A20092"/>
    <w:rsid w:val="00A20EA7"/>
    <w:rsid w:val="00A20EFD"/>
    <w:rsid w:val="00A21018"/>
    <w:rsid w:val="00A2288C"/>
    <w:rsid w:val="00A22931"/>
    <w:rsid w:val="00A2420B"/>
    <w:rsid w:val="00A2603E"/>
    <w:rsid w:val="00A26105"/>
    <w:rsid w:val="00A26E4B"/>
    <w:rsid w:val="00A27B1B"/>
    <w:rsid w:val="00A32B6C"/>
    <w:rsid w:val="00A33E6B"/>
    <w:rsid w:val="00A34744"/>
    <w:rsid w:val="00A377A9"/>
    <w:rsid w:val="00A414F9"/>
    <w:rsid w:val="00A4711F"/>
    <w:rsid w:val="00A474A4"/>
    <w:rsid w:val="00A524D7"/>
    <w:rsid w:val="00A52960"/>
    <w:rsid w:val="00A52B47"/>
    <w:rsid w:val="00A52EC9"/>
    <w:rsid w:val="00A549F6"/>
    <w:rsid w:val="00A56E33"/>
    <w:rsid w:val="00A60632"/>
    <w:rsid w:val="00A60CA2"/>
    <w:rsid w:val="00A60ED4"/>
    <w:rsid w:val="00A6129A"/>
    <w:rsid w:val="00A618F3"/>
    <w:rsid w:val="00A61C52"/>
    <w:rsid w:val="00A646E8"/>
    <w:rsid w:val="00A6487B"/>
    <w:rsid w:val="00A6734E"/>
    <w:rsid w:val="00A724AA"/>
    <w:rsid w:val="00A72F43"/>
    <w:rsid w:val="00A72FA6"/>
    <w:rsid w:val="00A756D9"/>
    <w:rsid w:val="00A7615E"/>
    <w:rsid w:val="00A773B2"/>
    <w:rsid w:val="00A81D96"/>
    <w:rsid w:val="00A82B52"/>
    <w:rsid w:val="00A85248"/>
    <w:rsid w:val="00A8650E"/>
    <w:rsid w:val="00A9062D"/>
    <w:rsid w:val="00A92DB3"/>
    <w:rsid w:val="00A94024"/>
    <w:rsid w:val="00A965C2"/>
    <w:rsid w:val="00AA0FD9"/>
    <w:rsid w:val="00AA13E6"/>
    <w:rsid w:val="00AA2058"/>
    <w:rsid w:val="00AA38C4"/>
    <w:rsid w:val="00AA3EB5"/>
    <w:rsid w:val="00AA47A0"/>
    <w:rsid w:val="00AA53A3"/>
    <w:rsid w:val="00AA5DF7"/>
    <w:rsid w:val="00AA6C2D"/>
    <w:rsid w:val="00AB12A1"/>
    <w:rsid w:val="00AB151F"/>
    <w:rsid w:val="00AB67F2"/>
    <w:rsid w:val="00AC08D3"/>
    <w:rsid w:val="00AC17CA"/>
    <w:rsid w:val="00AC2D31"/>
    <w:rsid w:val="00AC6558"/>
    <w:rsid w:val="00AD0F20"/>
    <w:rsid w:val="00AD48AE"/>
    <w:rsid w:val="00AD589A"/>
    <w:rsid w:val="00AD78F4"/>
    <w:rsid w:val="00AE059E"/>
    <w:rsid w:val="00AE1392"/>
    <w:rsid w:val="00AE3A18"/>
    <w:rsid w:val="00AE47D0"/>
    <w:rsid w:val="00AE4DE8"/>
    <w:rsid w:val="00AE62C8"/>
    <w:rsid w:val="00AE6878"/>
    <w:rsid w:val="00AE74FB"/>
    <w:rsid w:val="00AF001D"/>
    <w:rsid w:val="00AF1C6B"/>
    <w:rsid w:val="00AF1D6A"/>
    <w:rsid w:val="00AF1FD4"/>
    <w:rsid w:val="00AF412B"/>
    <w:rsid w:val="00AF42B6"/>
    <w:rsid w:val="00AF5310"/>
    <w:rsid w:val="00AF63EC"/>
    <w:rsid w:val="00AF7A08"/>
    <w:rsid w:val="00B01A25"/>
    <w:rsid w:val="00B07322"/>
    <w:rsid w:val="00B073AD"/>
    <w:rsid w:val="00B1019E"/>
    <w:rsid w:val="00B101E4"/>
    <w:rsid w:val="00B10E01"/>
    <w:rsid w:val="00B12D45"/>
    <w:rsid w:val="00B12DE0"/>
    <w:rsid w:val="00B142F9"/>
    <w:rsid w:val="00B150D9"/>
    <w:rsid w:val="00B21626"/>
    <w:rsid w:val="00B21F98"/>
    <w:rsid w:val="00B26568"/>
    <w:rsid w:val="00B2680F"/>
    <w:rsid w:val="00B36F3B"/>
    <w:rsid w:val="00B40DB5"/>
    <w:rsid w:val="00B411CB"/>
    <w:rsid w:val="00B41C87"/>
    <w:rsid w:val="00B424FB"/>
    <w:rsid w:val="00B43277"/>
    <w:rsid w:val="00B43BD5"/>
    <w:rsid w:val="00B44E85"/>
    <w:rsid w:val="00B47119"/>
    <w:rsid w:val="00B514CC"/>
    <w:rsid w:val="00B51576"/>
    <w:rsid w:val="00B51638"/>
    <w:rsid w:val="00B5165E"/>
    <w:rsid w:val="00B5206D"/>
    <w:rsid w:val="00B52393"/>
    <w:rsid w:val="00B54826"/>
    <w:rsid w:val="00B56A6C"/>
    <w:rsid w:val="00B62569"/>
    <w:rsid w:val="00B63622"/>
    <w:rsid w:val="00B64D45"/>
    <w:rsid w:val="00B65127"/>
    <w:rsid w:val="00B71C8B"/>
    <w:rsid w:val="00B777EA"/>
    <w:rsid w:val="00B80AAF"/>
    <w:rsid w:val="00B81944"/>
    <w:rsid w:val="00B82E4E"/>
    <w:rsid w:val="00B8368A"/>
    <w:rsid w:val="00B8385C"/>
    <w:rsid w:val="00B85804"/>
    <w:rsid w:val="00B85FE6"/>
    <w:rsid w:val="00B878FC"/>
    <w:rsid w:val="00B90240"/>
    <w:rsid w:val="00B914EA"/>
    <w:rsid w:val="00B916A4"/>
    <w:rsid w:val="00B921B3"/>
    <w:rsid w:val="00B93DE8"/>
    <w:rsid w:val="00B940AB"/>
    <w:rsid w:val="00B94FCD"/>
    <w:rsid w:val="00B95D2C"/>
    <w:rsid w:val="00B96D53"/>
    <w:rsid w:val="00B96F89"/>
    <w:rsid w:val="00B970F0"/>
    <w:rsid w:val="00BA1780"/>
    <w:rsid w:val="00BA1C04"/>
    <w:rsid w:val="00BA2444"/>
    <w:rsid w:val="00BA3587"/>
    <w:rsid w:val="00BA3A17"/>
    <w:rsid w:val="00BA52C9"/>
    <w:rsid w:val="00BA59A9"/>
    <w:rsid w:val="00BA69CC"/>
    <w:rsid w:val="00BA6C8A"/>
    <w:rsid w:val="00BA7A79"/>
    <w:rsid w:val="00BB3923"/>
    <w:rsid w:val="00BB7D71"/>
    <w:rsid w:val="00BC0253"/>
    <w:rsid w:val="00BC118C"/>
    <w:rsid w:val="00BC230F"/>
    <w:rsid w:val="00BC3828"/>
    <w:rsid w:val="00BC3CCE"/>
    <w:rsid w:val="00BC3CD3"/>
    <w:rsid w:val="00BC3E7F"/>
    <w:rsid w:val="00BD5848"/>
    <w:rsid w:val="00BD626B"/>
    <w:rsid w:val="00BE03DC"/>
    <w:rsid w:val="00BE13F1"/>
    <w:rsid w:val="00BE2722"/>
    <w:rsid w:val="00BE2BC5"/>
    <w:rsid w:val="00BE497B"/>
    <w:rsid w:val="00BE5FD4"/>
    <w:rsid w:val="00BE7432"/>
    <w:rsid w:val="00BE7723"/>
    <w:rsid w:val="00BE7F27"/>
    <w:rsid w:val="00BF0ED8"/>
    <w:rsid w:val="00BF1471"/>
    <w:rsid w:val="00BF3097"/>
    <w:rsid w:val="00C00F8B"/>
    <w:rsid w:val="00C019CF"/>
    <w:rsid w:val="00C02571"/>
    <w:rsid w:val="00C037A7"/>
    <w:rsid w:val="00C04351"/>
    <w:rsid w:val="00C045D2"/>
    <w:rsid w:val="00C045F4"/>
    <w:rsid w:val="00C04D89"/>
    <w:rsid w:val="00C0643D"/>
    <w:rsid w:val="00C06DBE"/>
    <w:rsid w:val="00C07406"/>
    <w:rsid w:val="00C07DB8"/>
    <w:rsid w:val="00C07EDF"/>
    <w:rsid w:val="00C10A92"/>
    <w:rsid w:val="00C10CF8"/>
    <w:rsid w:val="00C11B25"/>
    <w:rsid w:val="00C129B1"/>
    <w:rsid w:val="00C12C17"/>
    <w:rsid w:val="00C14C56"/>
    <w:rsid w:val="00C15C3A"/>
    <w:rsid w:val="00C15CF4"/>
    <w:rsid w:val="00C17159"/>
    <w:rsid w:val="00C20648"/>
    <w:rsid w:val="00C209D6"/>
    <w:rsid w:val="00C21821"/>
    <w:rsid w:val="00C225D2"/>
    <w:rsid w:val="00C2374B"/>
    <w:rsid w:val="00C237B0"/>
    <w:rsid w:val="00C23F6B"/>
    <w:rsid w:val="00C23FEE"/>
    <w:rsid w:val="00C24A4B"/>
    <w:rsid w:val="00C250B9"/>
    <w:rsid w:val="00C25B35"/>
    <w:rsid w:val="00C2606D"/>
    <w:rsid w:val="00C277F2"/>
    <w:rsid w:val="00C30C1D"/>
    <w:rsid w:val="00C3137F"/>
    <w:rsid w:val="00C31923"/>
    <w:rsid w:val="00C32EEA"/>
    <w:rsid w:val="00C34CB7"/>
    <w:rsid w:val="00C34F3D"/>
    <w:rsid w:val="00C3708C"/>
    <w:rsid w:val="00C40399"/>
    <w:rsid w:val="00C41526"/>
    <w:rsid w:val="00C42091"/>
    <w:rsid w:val="00C4223C"/>
    <w:rsid w:val="00C4350C"/>
    <w:rsid w:val="00C43F7F"/>
    <w:rsid w:val="00C45D51"/>
    <w:rsid w:val="00C46508"/>
    <w:rsid w:val="00C479B8"/>
    <w:rsid w:val="00C50B47"/>
    <w:rsid w:val="00C513CD"/>
    <w:rsid w:val="00C5269C"/>
    <w:rsid w:val="00C52863"/>
    <w:rsid w:val="00C536E8"/>
    <w:rsid w:val="00C53DAE"/>
    <w:rsid w:val="00C552EA"/>
    <w:rsid w:val="00C611B5"/>
    <w:rsid w:val="00C6208F"/>
    <w:rsid w:val="00C623DF"/>
    <w:rsid w:val="00C634F0"/>
    <w:rsid w:val="00C63B9A"/>
    <w:rsid w:val="00C64251"/>
    <w:rsid w:val="00C64B73"/>
    <w:rsid w:val="00C64D9C"/>
    <w:rsid w:val="00C66A93"/>
    <w:rsid w:val="00C67375"/>
    <w:rsid w:val="00C679F3"/>
    <w:rsid w:val="00C67D12"/>
    <w:rsid w:val="00C7262E"/>
    <w:rsid w:val="00C73F38"/>
    <w:rsid w:val="00C74717"/>
    <w:rsid w:val="00C74CBD"/>
    <w:rsid w:val="00C74F25"/>
    <w:rsid w:val="00C7600E"/>
    <w:rsid w:val="00C76054"/>
    <w:rsid w:val="00C7619F"/>
    <w:rsid w:val="00C774A2"/>
    <w:rsid w:val="00C77DB8"/>
    <w:rsid w:val="00C80225"/>
    <w:rsid w:val="00C8064A"/>
    <w:rsid w:val="00C80D5E"/>
    <w:rsid w:val="00C810F7"/>
    <w:rsid w:val="00C8184D"/>
    <w:rsid w:val="00C83E5A"/>
    <w:rsid w:val="00C84DA9"/>
    <w:rsid w:val="00C84F13"/>
    <w:rsid w:val="00C85422"/>
    <w:rsid w:val="00C85E5F"/>
    <w:rsid w:val="00C866A0"/>
    <w:rsid w:val="00C87592"/>
    <w:rsid w:val="00C90495"/>
    <w:rsid w:val="00C90878"/>
    <w:rsid w:val="00C9106F"/>
    <w:rsid w:val="00C92531"/>
    <w:rsid w:val="00C95B19"/>
    <w:rsid w:val="00C97819"/>
    <w:rsid w:val="00C97DB4"/>
    <w:rsid w:val="00CA3F73"/>
    <w:rsid w:val="00CA3FBC"/>
    <w:rsid w:val="00CA69C4"/>
    <w:rsid w:val="00CB2319"/>
    <w:rsid w:val="00CB2CCC"/>
    <w:rsid w:val="00CB4611"/>
    <w:rsid w:val="00CB5996"/>
    <w:rsid w:val="00CB66D7"/>
    <w:rsid w:val="00CB68B5"/>
    <w:rsid w:val="00CB711F"/>
    <w:rsid w:val="00CB7144"/>
    <w:rsid w:val="00CB7682"/>
    <w:rsid w:val="00CC0789"/>
    <w:rsid w:val="00CC0F42"/>
    <w:rsid w:val="00CC12CC"/>
    <w:rsid w:val="00CC17B0"/>
    <w:rsid w:val="00CC28B7"/>
    <w:rsid w:val="00CC2CF7"/>
    <w:rsid w:val="00CC46EE"/>
    <w:rsid w:val="00CC49BD"/>
    <w:rsid w:val="00CC4BA8"/>
    <w:rsid w:val="00CC68E0"/>
    <w:rsid w:val="00CD13D3"/>
    <w:rsid w:val="00CD400E"/>
    <w:rsid w:val="00CD599E"/>
    <w:rsid w:val="00CD5EF0"/>
    <w:rsid w:val="00CD6222"/>
    <w:rsid w:val="00CD6AAE"/>
    <w:rsid w:val="00CE0FC2"/>
    <w:rsid w:val="00CE2091"/>
    <w:rsid w:val="00CE2C35"/>
    <w:rsid w:val="00CE47B9"/>
    <w:rsid w:val="00CE5B44"/>
    <w:rsid w:val="00CF0032"/>
    <w:rsid w:val="00CF01D9"/>
    <w:rsid w:val="00CF0C0A"/>
    <w:rsid w:val="00CF0DAF"/>
    <w:rsid w:val="00CF0E83"/>
    <w:rsid w:val="00CF0EF2"/>
    <w:rsid w:val="00CF30C5"/>
    <w:rsid w:val="00CF38F2"/>
    <w:rsid w:val="00CF391D"/>
    <w:rsid w:val="00CF3D4D"/>
    <w:rsid w:val="00CF3D80"/>
    <w:rsid w:val="00CF424B"/>
    <w:rsid w:val="00CF53D1"/>
    <w:rsid w:val="00CF7652"/>
    <w:rsid w:val="00D04016"/>
    <w:rsid w:val="00D07056"/>
    <w:rsid w:val="00D10066"/>
    <w:rsid w:val="00D11E84"/>
    <w:rsid w:val="00D13105"/>
    <w:rsid w:val="00D13E60"/>
    <w:rsid w:val="00D1474B"/>
    <w:rsid w:val="00D16D63"/>
    <w:rsid w:val="00D16EAD"/>
    <w:rsid w:val="00D174AF"/>
    <w:rsid w:val="00D215C3"/>
    <w:rsid w:val="00D21617"/>
    <w:rsid w:val="00D21CF3"/>
    <w:rsid w:val="00D21EAC"/>
    <w:rsid w:val="00D23F1F"/>
    <w:rsid w:val="00D2776F"/>
    <w:rsid w:val="00D27F67"/>
    <w:rsid w:val="00D313C8"/>
    <w:rsid w:val="00D3323E"/>
    <w:rsid w:val="00D33A0F"/>
    <w:rsid w:val="00D350F4"/>
    <w:rsid w:val="00D37DDD"/>
    <w:rsid w:val="00D40C67"/>
    <w:rsid w:val="00D412F2"/>
    <w:rsid w:val="00D4383B"/>
    <w:rsid w:val="00D5159A"/>
    <w:rsid w:val="00D51AB2"/>
    <w:rsid w:val="00D52093"/>
    <w:rsid w:val="00D52A8E"/>
    <w:rsid w:val="00D53329"/>
    <w:rsid w:val="00D54742"/>
    <w:rsid w:val="00D55794"/>
    <w:rsid w:val="00D56327"/>
    <w:rsid w:val="00D5760A"/>
    <w:rsid w:val="00D602EB"/>
    <w:rsid w:val="00D62522"/>
    <w:rsid w:val="00D63AA8"/>
    <w:rsid w:val="00D63D5E"/>
    <w:rsid w:val="00D70D22"/>
    <w:rsid w:val="00D728D4"/>
    <w:rsid w:val="00D73AEB"/>
    <w:rsid w:val="00D75AF3"/>
    <w:rsid w:val="00D76B59"/>
    <w:rsid w:val="00D771D9"/>
    <w:rsid w:val="00D77797"/>
    <w:rsid w:val="00D77BB0"/>
    <w:rsid w:val="00D8241B"/>
    <w:rsid w:val="00D827FF"/>
    <w:rsid w:val="00D83AF4"/>
    <w:rsid w:val="00D84982"/>
    <w:rsid w:val="00D9151F"/>
    <w:rsid w:val="00D91CED"/>
    <w:rsid w:val="00D91E8D"/>
    <w:rsid w:val="00D9462E"/>
    <w:rsid w:val="00D955DC"/>
    <w:rsid w:val="00D95889"/>
    <w:rsid w:val="00D96984"/>
    <w:rsid w:val="00D974EC"/>
    <w:rsid w:val="00D977B0"/>
    <w:rsid w:val="00DA0A10"/>
    <w:rsid w:val="00DA0A3C"/>
    <w:rsid w:val="00DA2CF8"/>
    <w:rsid w:val="00DA3D0F"/>
    <w:rsid w:val="00DA51D0"/>
    <w:rsid w:val="00DA578E"/>
    <w:rsid w:val="00DB0328"/>
    <w:rsid w:val="00DB078B"/>
    <w:rsid w:val="00DB333C"/>
    <w:rsid w:val="00DB4035"/>
    <w:rsid w:val="00DB44B1"/>
    <w:rsid w:val="00DB74B9"/>
    <w:rsid w:val="00DC2D72"/>
    <w:rsid w:val="00DC6A9C"/>
    <w:rsid w:val="00DD5A2A"/>
    <w:rsid w:val="00DE0CB9"/>
    <w:rsid w:val="00DE3077"/>
    <w:rsid w:val="00DE3FA9"/>
    <w:rsid w:val="00DE41CD"/>
    <w:rsid w:val="00DE66C9"/>
    <w:rsid w:val="00DF0EB0"/>
    <w:rsid w:val="00DF15CF"/>
    <w:rsid w:val="00DF2320"/>
    <w:rsid w:val="00DF379D"/>
    <w:rsid w:val="00DF4196"/>
    <w:rsid w:val="00DF42FD"/>
    <w:rsid w:val="00DF479D"/>
    <w:rsid w:val="00DF48EA"/>
    <w:rsid w:val="00DF5610"/>
    <w:rsid w:val="00DF697B"/>
    <w:rsid w:val="00DF74FB"/>
    <w:rsid w:val="00E02105"/>
    <w:rsid w:val="00E0321C"/>
    <w:rsid w:val="00E04CB7"/>
    <w:rsid w:val="00E07784"/>
    <w:rsid w:val="00E07B3D"/>
    <w:rsid w:val="00E126A9"/>
    <w:rsid w:val="00E166D7"/>
    <w:rsid w:val="00E20F29"/>
    <w:rsid w:val="00E220CB"/>
    <w:rsid w:val="00E23854"/>
    <w:rsid w:val="00E23912"/>
    <w:rsid w:val="00E23C43"/>
    <w:rsid w:val="00E24F3A"/>
    <w:rsid w:val="00E260A6"/>
    <w:rsid w:val="00E31751"/>
    <w:rsid w:val="00E352BD"/>
    <w:rsid w:val="00E358EB"/>
    <w:rsid w:val="00E35FC5"/>
    <w:rsid w:val="00E3693B"/>
    <w:rsid w:val="00E374A2"/>
    <w:rsid w:val="00E408A6"/>
    <w:rsid w:val="00E42A0D"/>
    <w:rsid w:val="00E43B00"/>
    <w:rsid w:val="00E4455E"/>
    <w:rsid w:val="00E44C02"/>
    <w:rsid w:val="00E46945"/>
    <w:rsid w:val="00E46E5D"/>
    <w:rsid w:val="00E47E12"/>
    <w:rsid w:val="00E505DD"/>
    <w:rsid w:val="00E507D0"/>
    <w:rsid w:val="00E51987"/>
    <w:rsid w:val="00E51D02"/>
    <w:rsid w:val="00E531CF"/>
    <w:rsid w:val="00E534A9"/>
    <w:rsid w:val="00E54B28"/>
    <w:rsid w:val="00E622E9"/>
    <w:rsid w:val="00E62752"/>
    <w:rsid w:val="00E643B4"/>
    <w:rsid w:val="00E65577"/>
    <w:rsid w:val="00E657C3"/>
    <w:rsid w:val="00E65B39"/>
    <w:rsid w:val="00E71648"/>
    <w:rsid w:val="00E71E0A"/>
    <w:rsid w:val="00E801CE"/>
    <w:rsid w:val="00E81B08"/>
    <w:rsid w:val="00E83976"/>
    <w:rsid w:val="00E83BFC"/>
    <w:rsid w:val="00E85A47"/>
    <w:rsid w:val="00E87D2E"/>
    <w:rsid w:val="00E908EA"/>
    <w:rsid w:val="00E93BE8"/>
    <w:rsid w:val="00E94445"/>
    <w:rsid w:val="00E9509E"/>
    <w:rsid w:val="00E95BEE"/>
    <w:rsid w:val="00E96686"/>
    <w:rsid w:val="00E97823"/>
    <w:rsid w:val="00EA360B"/>
    <w:rsid w:val="00EA461B"/>
    <w:rsid w:val="00EA4770"/>
    <w:rsid w:val="00EA5E5D"/>
    <w:rsid w:val="00EA60BF"/>
    <w:rsid w:val="00EB0517"/>
    <w:rsid w:val="00EB1944"/>
    <w:rsid w:val="00EB1DAA"/>
    <w:rsid w:val="00EB4EB1"/>
    <w:rsid w:val="00EB4EB3"/>
    <w:rsid w:val="00EB5544"/>
    <w:rsid w:val="00EB5586"/>
    <w:rsid w:val="00EB6B51"/>
    <w:rsid w:val="00EB6CD0"/>
    <w:rsid w:val="00EC08E5"/>
    <w:rsid w:val="00EC0BDA"/>
    <w:rsid w:val="00EC2391"/>
    <w:rsid w:val="00EC2BFF"/>
    <w:rsid w:val="00EC3629"/>
    <w:rsid w:val="00EC437A"/>
    <w:rsid w:val="00EC496F"/>
    <w:rsid w:val="00EC5518"/>
    <w:rsid w:val="00EC6B95"/>
    <w:rsid w:val="00ED00A4"/>
    <w:rsid w:val="00ED08E5"/>
    <w:rsid w:val="00ED1219"/>
    <w:rsid w:val="00ED1BE2"/>
    <w:rsid w:val="00ED76F0"/>
    <w:rsid w:val="00ED77C9"/>
    <w:rsid w:val="00EE17E2"/>
    <w:rsid w:val="00EE3158"/>
    <w:rsid w:val="00EE3219"/>
    <w:rsid w:val="00EE6E34"/>
    <w:rsid w:val="00EE7C55"/>
    <w:rsid w:val="00EF06B7"/>
    <w:rsid w:val="00EF357E"/>
    <w:rsid w:val="00EF37A2"/>
    <w:rsid w:val="00EF39F0"/>
    <w:rsid w:val="00EF3FC9"/>
    <w:rsid w:val="00F01EC9"/>
    <w:rsid w:val="00F02822"/>
    <w:rsid w:val="00F02F5D"/>
    <w:rsid w:val="00F04821"/>
    <w:rsid w:val="00F05A92"/>
    <w:rsid w:val="00F077CA"/>
    <w:rsid w:val="00F07863"/>
    <w:rsid w:val="00F110FB"/>
    <w:rsid w:val="00F11B87"/>
    <w:rsid w:val="00F13085"/>
    <w:rsid w:val="00F14556"/>
    <w:rsid w:val="00F14A99"/>
    <w:rsid w:val="00F14D6C"/>
    <w:rsid w:val="00F14E96"/>
    <w:rsid w:val="00F150A5"/>
    <w:rsid w:val="00F15EE2"/>
    <w:rsid w:val="00F169D6"/>
    <w:rsid w:val="00F169F5"/>
    <w:rsid w:val="00F16B91"/>
    <w:rsid w:val="00F17230"/>
    <w:rsid w:val="00F22032"/>
    <w:rsid w:val="00F234C4"/>
    <w:rsid w:val="00F23B72"/>
    <w:rsid w:val="00F2455E"/>
    <w:rsid w:val="00F26829"/>
    <w:rsid w:val="00F26BE7"/>
    <w:rsid w:val="00F27ABE"/>
    <w:rsid w:val="00F33228"/>
    <w:rsid w:val="00F34E02"/>
    <w:rsid w:val="00F35594"/>
    <w:rsid w:val="00F35F53"/>
    <w:rsid w:val="00F36258"/>
    <w:rsid w:val="00F366F2"/>
    <w:rsid w:val="00F3714B"/>
    <w:rsid w:val="00F3717C"/>
    <w:rsid w:val="00F41AE4"/>
    <w:rsid w:val="00F41C8B"/>
    <w:rsid w:val="00F430E2"/>
    <w:rsid w:val="00F43A62"/>
    <w:rsid w:val="00F45386"/>
    <w:rsid w:val="00F4650C"/>
    <w:rsid w:val="00F54441"/>
    <w:rsid w:val="00F547E5"/>
    <w:rsid w:val="00F54977"/>
    <w:rsid w:val="00F61DE6"/>
    <w:rsid w:val="00F631C1"/>
    <w:rsid w:val="00F63E0B"/>
    <w:rsid w:val="00F64020"/>
    <w:rsid w:val="00F644E9"/>
    <w:rsid w:val="00F6491B"/>
    <w:rsid w:val="00F661A4"/>
    <w:rsid w:val="00F678B4"/>
    <w:rsid w:val="00F72CC5"/>
    <w:rsid w:val="00F72CF5"/>
    <w:rsid w:val="00F74209"/>
    <w:rsid w:val="00F76281"/>
    <w:rsid w:val="00F7640C"/>
    <w:rsid w:val="00F778C1"/>
    <w:rsid w:val="00F84070"/>
    <w:rsid w:val="00F84A4F"/>
    <w:rsid w:val="00F84E62"/>
    <w:rsid w:val="00F85AF8"/>
    <w:rsid w:val="00F8654D"/>
    <w:rsid w:val="00F86FEC"/>
    <w:rsid w:val="00F90397"/>
    <w:rsid w:val="00F93D79"/>
    <w:rsid w:val="00F94A9E"/>
    <w:rsid w:val="00F94F47"/>
    <w:rsid w:val="00F95421"/>
    <w:rsid w:val="00F95BF5"/>
    <w:rsid w:val="00F960C8"/>
    <w:rsid w:val="00FA1D09"/>
    <w:rsid w:val="00FA444B"/>
    <w:rsid w:val="00FB04B2"/>
    <w:rsid w:val="00FB1203"/>
    <w:rsid w:val="00FB2BC7"/>
    <w:rsid w:val="00FB5023"/>
    <w:rsid w:val="00FB67ED"/>
    <w:rsid w:val="00FB6F8B"/>
    <w:rsid w:val="00FB782E"/>
    <w:rsid w:val="00FB7FFB"/>
    <w:rsid w:val="00FC238D"/>
    <w:rsid w:val="00FC4EA9"/>
    <w:rsid w:val="00FD2728"/>
    <w:rsid w:val="00FD360F"/>
    <w:rsid w:val="00FD7D02"/>
    <w:rsid w:val="00FE041D"/>
    <w:rsid w:val="00FE3C95"/>
    <w:rsid w:val="00FE721D"/>
    <w:rsid w:val="00FE79B5"/>
    <w:rsid w:val="00FF225A"/>
    <w:rsid w:val="00FF23D9"/>
    <w:rsid w:val="00FF43DC"/>
    <w:rsid w:val="00FF471F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EAC6B"/>
  <w15:chartTrackingRefBased/>
  <w15:docId w15:val="{04652B0D-2157-4BFE-A737-01A03E10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110D"/>
    <w:pPr>
      <w:spacing w:after="0" w:line="240" w:lineRule="auto"/>
    </w:pPr>
    <w:rPr>
      <w:rFonts w:ascii="Arial" w:eastAsia="Times New Roman" w:hAnsi="Arial"/>
      <w:sz w:val="22"/>
    </w:rPr>
  </w:style>
  <w:style w:type="paragraph" w:styleId="Heading1">
    <w:name w:val="heading 1"/>
    <w:basedOn w:val="Heading2"/>
    <w:next w:val="Normal"/>
    <w:link w:val="Heading1Char"/>
    <w:qFormat/>
    <w:rsid w:val="007E110D"/>
    <w:pPr>
      <w:outlineLvl w:val="0"/>
    </w:pPr>
    <w:rPr>
      <w:color w:val="59227A"/>
      <w:sz w:val="36"/>
      <w:szCs w:val="32"/>
    </w:rPr>
  </w:style>
  <w:style w:type="paragraph" w:styleId="Heading2">
    <w:name w:val="heading 2"/>
    <w:basedOn w:val="Normal"/>
    <w:next w:val="Paragraphtext"/>
    <w:link w:val="Heading2Char"/>
    <w:qFormat/>
    <w:rsid w:val="005D2CDE"/>
    <w:pPr>
      <w:spacing w:before="240" w:after="160"/>
      <w:outlineLvl w:val="1"/>
    </w:pPr>
    <w:rPr>
      <w:rFonts w:cs="Arial"/>
      <w:color w:val="77226C"/>
      <w:sz w:val="32"/>
      <w:szCs w:val="36"/>
    </w:rPr>
  </w:style>
  <w:style w:type="paragraph" w:styleId="Heading3">
    <w:name w:val="heading 3"/>
    <w:basedOn w:val="ListParagraph"/>
    <w:next w:val="Normal"/>
    <w:link w:val="Heading3Char"/>
    <w:qFormat/>
    <w:rsid w:val="00B81944"/>
    <w:pPr>
      <w:spacing w:before="240" w:after="160"/>
      <w:ind w:left="0"/>
      <w:contextualSpacing w:val="0"/>
      <w:outlineLvl w:val="2"/>
    </w:pPr>
    <w:rPr>
      <w:rFonts w:cs="Arial"/>
      <w:color w:val="512373"/>
      <w:sz w:val="28"/>
      <w:szCs w:val="32"/>
    </w:rPr>
  </w:style>
  <w:style w:type="paragraph" w:styleId="Heading4">
    <w:name w:val="heading 4"/>
    <w:basedOn w:val="Normal"/>
    <w:next w:val="Normal"/>
    <w:link w:val="Heading4Char"/>
    <w:qFormat/>
    <w:rsid w:val="00C14C56"/>
    <w:pPr>
      <w:keepNext/>
      <w:spacing w:before="240" w:after="60"/>
      <w:outlineLvl w:val="3"/>
    </w:pPr>
    <w:rPr>
      <w:iCs/>
      <w:color w:val="422561"/>
      <w:sz w:val="24"/>
      <w:szCs w:val="28"/>
    </w:rPr>
  </w:style>
  <w:style w:type="paragraph" w:styleId="Heading5">
    <w:name w:val="heading 5"/>
    <w:basedOn w:val="Normal"/>
    <w:next w:val="Normal"/>
    <w:link w:val="Heading5Char"/>
    <w:rsid w:val="007E110D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rsid w:val="007E110D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110D"/>
    <w:rPr>
      <w:rFonts w:ascii="Arial" w:eastAsia="Times New Roman" w:hAnsi="Arial" w:cs="Arial"/>
      <w:color w:val="59227A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5D2CDE"/>
    <w:rPr>
      <w:rFonts w:ascii="Arial" w:eastAsia="Times New Roman" w:hAnsi="Arial" w:cs="Arial"/>
      <w:color w:val="77226C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B81944"/>
    <w:rPr>
      <w:rFonts w:ascii="Arial" w:eastAsia="Times New Roman" w:hAnsi="Arial" w:cs="Arial"/>
      <w:color w:val="512373"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C14C56"/>
    <w:rPr>
      <w:rFonts w:ascii="Arial" w:eastAsia="Times New Roman" w:hAnsi="Arial"/>
      <w:iCs/>
      <w:color w:val="422561"/>
      <w:szCs w:val="28"/>
    </w:rPr>
  </w:style>
  <w:style w:type="character" w:customStyle="1" w:styleId="Heading5Char">
    <w:name w:val="Heading 5 Char"/>
    <w:basedOn w:val="DefaultParagraphFont"/>
    <w:link w:val="Heading5"/>
    <w:rsid w:val="007E110D"/>
    <w:rPr>
      <w:rFonts w:ascii="Arial" w:eastAsia="Times New Roman" w:hAnsi="Arial"/>
      <w:b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7E110D"/>
    <w:rPr>
      <w:rFonts w:ascii="Arial" w:eastAsia="Times New Roman" w:hAnsi="Arial"/>
      <w:b/>
      <w:bCs/>
      <w:i/>
      <w:sz w:val="22"/>
      <w:szCs w:val="22"/>
    </w:rPr>
  </w:style>
  <w:style w:type="paragraph" w:customStyle="1" w:styleId="Paragraphtext">
    <w:name w:val="Paragraph text"/>
    <w:basedOn w:val="Normal"/>
    <w:qFormat/>
    <w:rsid w:val="00DB333C"/>
    <w:pPr>
      <w:spacing w:before="120" w:after="120" w:line="276" w:lineRule="auto"/>
    </w:pPr>
  </w:style>
  <w:style w:type="character" w:styleId="Emphasis">
    <w:name w:val="Emphasis"/>
    <w:basedOn w:val="DefaultParagraphFont"/>
    <w:uiPriority w:val="20"/>
    <w:qFormat/>
    <w:rsid w:val="007E110D"/>
    <w:rPr>
      <w:i/>
      <w:iCs/>
    </w:rPr>
  </w:style>
  <w:style w:type="character" w:styleId="Strong">
    <w:name w:val="Strong"/>
    <w:basedOn w:val="DefaultParagraphFont"/>
    <w:rsid w:val="007E110D"/>
    <w:rPr>
      <w:b/>
      <w:bCs/>
    </w:rPr>
  </w:style>
  <w:style w:type="paragraph" w:styleId="Subtitle">
    <w:name w:val="Subtitle"/>
    <w:next w:val="Normal"/>
    <w:link w:val="SubtitleChar"/>
    <w:qFormat/>
    <w:rsid w:val="007E110D"/>
    <w:pPr>
      <w:numPr>
        <w:ilvl w:val="1"/>
      </w:numPr>
      <w:spacing w:before="120" w:after="60" w:line="240" w:lineRule="auto"/>
    </w:pPr>
    <w:rPr>
      <w:rFonts w:ascii="Arial" w:eastAsiaTheme="majorEastAsia" w:hAnsi="Arial" w:cstheme="majorBidi"/>
      <w:iCs/>
      <w:color w:val="3F4A75"/>
      <w:spacing w:val="15"/>
      <w:sz w:val="40"/>
    </w:rPr>
  </w:style>
  <w:style w:type="character" w:customStyle="1" w:styleId="SubtitleChar">
    <w:name w:val="Subtitle Char"/>
    <w:basedOn w:val="DefaultParagraphFont"/>
    <w:link w:val="Subtitle"/>
    <w:rsid w:val="007E110D"/>
    <w:rPr>
      <w:rFonts w:ascii="Arial" w:eastAsiaTheme="majorEastAsia" w:hAnsi="Arial" w:cstheme="majorBidi"/>
      <w:iCs/>
      <w:color w:val="3F4A75"/>
      <w:spacing w:val="15"/>
      <w:sz w:val="40"/>
    </w:rPr>
  </w:style>
  <w:style w:type="paragraph" w:styleId="Title">
    <w:name w:val="Title"/>
    <w:basedOn w:val="Normal"/>
    <w:next w:val="Paragraphtext"/>
    <w:link w:val="TitleChar"/>
    <w:qFormat/>
    <w:rsid w:val="007E110D"/>
    <w:pPr>
      <w:spacing w:before="2160" w:after="120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7E110D"/>
    <w:rPr>
      <w:rFonts w:ascii="Arial" w:eastAsiaTheme="majorEastAsia" w:hAnsi="Arial" w:cstheme="majorBidi"/>
      <w:b/>
      <w:color w:val="3F4A75"/>
      <w:kern w:val="28"/>
      <w:sz w:val="48"/>
      <w:szCs w:val="52"/>
    </w:rPr>
  </w:style>
  <w:style w:type="paragraph" w:styleId="NoSpacing">
    <w:name w:val="No Spacing"/>
    <w:uiPriority w:val="1"/>
    <w:rsid w:val="007E110D"/>
    <w:pPr>
      <w:spacing w:after="0" w:line="240" w:lineRule="auto"/>
    </w:pPr>
    <w:rPr>
      <w:rFonts w:eastAsia="Times New Roman"/>
    </w:rPr>
  </w:style>
  <w:style w:type="character" w:styleId="SubtleEmphasis">
    <w:name w:val="Subtle Emphasis"/>
    <w:basedOn w:val="DefaultParagraphFont"/>
    <w:uiPriority w:val="19"/>
    <w:rsid w:val="007E110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7E110D"/>
    <w:rPr>
      <w:b/>
      <w:bCs/>
      <w:i/>
      <w:iCs/>
      <w:color w:val="452669" w:themeColor="accent1"/>
    </w:rPr>
  </w:style>
  <w:style w:type="paragraph" w:styleId="Quote">
    <w:name w:val="Quote"/>
    <w:next w:val="Normal"/>
    <w:link w:val="QuoteChar"/>
    <w:uiPriority w:val="29"/>
    <w:qFormat/>
    <w:rsid w:val="007E110D"/>
    <w:pPr>
      <w:spacing w:after="0" w:line="240" w:lineRule="auto"/>
      <w:ind w:left="720"/>
    </w:pPr>
    <w:rPr>
      <w:rFonts w:ascii="Arial" w:eastAsia="Times New Roman" w:hAnsi="Arial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7E110D"/>
    <w:rPr>
      <w:rFonts w:ascii="Arial" w:eastAsia="Times New Roman" w:hAnsi="Arial"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7E110D"/>
    <w:pPr>
      <w:pBdr>
        <w:bottom w:val="single" w:sz="4" w:space="4" w:color="452669" w:themeColor="accent1"/>
      </w:pBdr>
      <w:spacing w:before="200" w:after="280"/>
      <w:ind w:left="936" w:right="936"/>
    </w:pPr>
    <w:rPr>
      <w:b/>
      <w:bCs/>
      <w:i/>
      <w:iCs/>
      <w:color w:val="4526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10D"/>
    <w:rPr>
      <w:rFonts w:ascii="Arial" w:eastAsia="Times New Roman" w:hAnsi="Arial"/>
      <w:b/>
      <w:bCs/>
      <w:i/>
      <w:iCs/>
      <w:color w:val="452669" w:themeColor="accent1"/>
      <w:sz w:val="22"/>
    </w:rPr>
  </w:style>
  <w:style w:type="character" w:styleId="SubtleReference">
    <w:name w:val="Subtle Reference"/>
    <w:basedOn w:val="DefaultParagraphFont"/>
    <w:uiPriority w:val="31"/>
    <w:rsid w:val="007E110D"/>
    <w:rPr>
      <w:smallCaps/>
      <w:color w:val="59237B" w:themeColor="accent2"/>
      <w:u w:val="single"/>
    </w:rPr>
  </w:style>
  <w:style w:type="character" w:styleId="IntenseReference">
    <w:name w:val="Intense Reference"/>
    <w:basedOn w:val="DefaultParagraphFont"/>
    <w:uiPriority w:val="32"/>
    <w:rsid w:val="007E110D"/>
    <w:rPr>
      <w:b/>
      <w:bCs/>
      <w:i/>
      <w:smallCaps/>
      <w:color w:val="59237B" w:themeColor="accent2"/>
      <w:spacing w:val="5"/>
      <w:u w:val="none"/>
    </w:rPr>
  </w:style>
  <w:style w:type="paragraph" w:styleId="ListBullet2">
    <w:name w:val="List Bullet 2"/>
    <w:basedOn w:val="ListNumber2"/>
    <w:rsid w:val="007E110D"/>
    <w:pPr>
      <w:numPr>
        <w:numId w:val="4"/>
      </w:numPr>
      <w:ind w:left="568" w:hanging="284"/>
    </w:pPr>
  </w:style>
  <w:style w:type="paragraph" w:styleId="ListNumber2">
    <w:name w:val="List Number 2"/>
    <w:basedOn w:val="ListBullet"/>
    <w:qFormat/>
    <w:rsid w:val="007E110D"/>
    <w:pPr>
      <w:numPr>
        <w:numId w:val="6"/>
      </w:numPr>
    </w:pPr>
  </w:style>
  <w:style w:type="paragraph" w:styleId="ListBullet">
    <w:name w:val="List Bullet"/>
    <w:basedOn w:val="Normal"/>
    <w:qFormat/>
    <w:rsid w:val="0039383B"/>
    <w:pPr>
      <w:numPr>
        <w:numId w:val="5"/>
      </w:numPr>
      <w:spacing w:before="60" w:after="60"/>
    </w:pPr>
    <w:rPr>
      <w:color w:val="000000" w:themeColor="text1"/>
      <w:szCs w:val="22"/>
    </w:rPr>
  </w:style>
  <w:style w:type="paragraph" w:styleId="ListParagraph">
    <w:name w:val="List Paragraph"/>
    <w:basedOn w:val="Normal"/>
    <w:uiPriority w:val="34"/>
    <w:qFormat/>
    <w:rsid w:val="007E110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7E110D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lang w:val="en-US"/>
    </w:rPr>
  </w:style>
  <w:style w:type="paragraph" w:customStyle="1" w:styleId="ImageTitle">
    <w:name w:val="Image Title"/>
    <w:locked/>
    <w:rsid w:val="007E110D"/>
    <w:pPr>
      <w:tabs>
        <w:tab w:val="num" w:pos="1080"/>
      </w:tabs>
      <w:spacing w:before="120" w:after="0" w:line="240" w:lineRule="exact"/>
    </w:pPr>
    <w:rPr>
      <w:rFonts w:ascii="Arial" w:eastAsia="Times New Roman" w:hAnsi="Arial"/>
      <w:color w:val="000000" w:themeColor="text1"/>
      <w:sz w:val="22"/>
    </w:rPr>
  </w:style>
  <w:style w:type="paragraph" w:styleId="BalloonText">
    <w:name w:val="Balloon Text"/>
    <w:basedOn w:val="Normal"/>
    <w:link w:val="BalloonTextChar"/>
    <w:rsid w:val="007E1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10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E110D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rsid w:val="007E110D"/>
    <w:pPr>
      <w:spacing w:after="0" w:line="240" w:lineRule="auto"/>
    </w:pPr>
    <w:rPr>
      <w:rFonts w:eastAsia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7E110D"/>
    <w:pPr>
      <w:spacing w:before="60" w:after="60" w:line="240" w:lineRule="auto"/>
    </w:pPr>
    <w:rPr>
      <w:rFonts w:ascii="Arial" w:eastAsia="Times New Roman" w:hAnsi="Arial"/>
      <w:color w:val="000000" w:themeColor="text1"/>
      <w:sz w:val="21"/>
    </w:rPr>
  </w:style>
  <w:style w:type="table" w:styleId="TableColumns2">
    <w:name w:val="Table Columns 2"/>
    <w:basedOn w:val="TableNormal"/>
    <w:rsid w:val="007E110D"/>
    <w:pPr>
      <w:spacing w:before="120" w:after="0" w:line="240" w:lineRule="exact"/>
    </w:pPr>
    <w:rPr>
      <w:rFonts w:eastAsia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7E110D"/>
    <w:pPr>
      <w:spacing w:after="0" w:line="240" w:lineRule="auto"/>
    </w:pPr>
    <w:rPr>
      <w:rFonts w:eastAsia="Times New Roman"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110D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rsid w:val="007E110D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110D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7E110D"/>
    <w:pPr>
      <w:spacing w:before="120" w:after="120" w:line="240" w:lineRule="auto"/>
    </w:pPr>
    <w:rPr>
      <w:rFonts w:ascii="Arial" w:eastAsia="Times New Roman" w:hAnsi="Arial"/>
      <w:b/>
      <w:color w:val="000000" w:themeColor="text1"/>
      <w:sz w:val="22"/>
      <w:lang w:val="en-US"/>
    </w:rPr>
  </w:style>
  <w:style w:type="paragraph" w:styleId="Header">
    <w:name w:val="header"/>
    <w:basedOn w:val="Heading1"/>
    <w:link w:val="HeaderChar"/>
    <w:qFormat/>
    <w:rsid w:val="003724EB"/>
    <w:rPr>
      <w:b/>
      <w:bCs/>
      <w:sz w:val="40"/>
      <w:szCs w:val="36"/>
    </w:rPr>
  </w:style>
  <w:style w:type="character" w:customStyle="1" w:styleId="HeaderChar">
    <w:name w:val="Header Char"/>
    <w:basedOn w:val="DefaultParagraphFont"/>
    <w:link w:val="Header"/>
    <w:rsid w:val="003724EB"/>
    <w:rPr>
      <w:rFonts w:ascii="Arial" w:eastAsia="Times New Roman" w:hAnsi="Arial" w:cs="Arial"/>
      <w:b/>
      <w:bCs/>
      <w:color w:val="59227A"/>
      <w:sz w:val="40"/>
      <w:szCs w:val="36"/>
    </w:rPr>
  </w:style>
  <w:style w:type="paragraph" w:styleId="Footer">
    <w:name w:val="footer"/>
    <w:basedOn w:val="Normal"/>
    <w:link w:val="FooterChar"/>
    <w:uiPriority w:val="99"/>
    <w:qFormat/>
    <w:rsid w:val="007E110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E110D"/>
    <w:rPr>
      <w:rFonts w:ascii="Arial" w:eastAsia="Times New Roman" w:hAnsi="Arial"/>
      <w:sz w:val="20"/>
    </w:rPr>
  </w:style>
  <w:style w:type="paragraph" w:customStyle="1" w:styleId="TableHeaderWhite">
    <w:name w:val="Table Header White"/>
    <w:basedOn w:val="Normal"/>
    <w:next w:val="Tabletextleft"/>
    <w:qFormat/>
    <w:rsid w:val="007E110D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rsid w:val="007E110D"/>
    <w:pPr>
      <w:spacing w:after="0" w:line="240" w:lineRule="auto"/>
    </w:pPr>
    <w:rPr>
      <w:rFonts w:eastAsia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7E110D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7E110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7E110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7E110D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E110D"/>
    <w:rPr>
      <w:color w:val="0563C1" w:themeColor="hyperlink"/>
      <w:u w:val="single"/>
    </w:rPr>
  </w:style>
  <w:style w:type="table" w:customStyle="1" w:styleId="PHNGreyTable">
    <w:name w:val="PHN Grey Table"/>
    <w:basedOn w:val="TableNormal"/>
    <w:uiPriority w:val="99"/>
    <w:rsid w:val="007E110D"/>
    <w:pPr>
      <w:spacing w:before="120" w:after="120" w:line="240" w:lineRule="auto"/>
    </w:pPr>
    <w:rPr>
      <w:rFonts w:ascii="Arial" w:eastAsia="Times New Roman" w:hAnsi="Arial"/>
      <w:sz w:val="22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7E110D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7E110D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7E110D"/>
    <w:pPr>
      <w:numPr>
        <w:numId w:val="2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7E110D"/>
    <w:pPr>
      <w:numPr>
        <w:numId w:val="3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7E110D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7E110D"/>
  </w:style>
  <w:style w:type="paragraph" w:customStyle="1" w:styleId="Heading1Orange">
    <w:name w:val="Heading 1 Orange"/>
    <w:basedOn w:val="Heading1"/>
    <w:next w:val="Paragraphtext"/>
    <w:rsid w:val="007E110D"/>
    <w:rPr>
      <w:color w:val="D72F0D"/>
    </w:rPr>
  </w:style>
  <w:style w:type="paragraph" w:customStyle="1" w:styleId="Heading2Orange">
    <w:name w:val="Heading 2 Orange"/>
    <w:basedOn w:val="Heading2"/>
    <w:rsid w:val="007E110D"/>
    <w:rPr>
      <w:color w:val="D72F0D"/>
    </w:rPr>
  </w:style>
  <w:style w:type="paragraph" w:styleId="FootnoteText">
    <w:name w:val="footnote text"/>
    <w:basedOn w:val="Normal"/>
    <w:link w:val="FootnoteTextChar"/>
    <w:rsid w:val="007E11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110D"/>
    <w:rPr>
      <w:rFonts w:ascii="Arial" w:eastAsia="Times New Roman" w:hAnsi="Arial"/>
      <w:sz w:val="20"/>
      <w:szCs w:val="20"/>
    </w:rPr>
  </w:style>
  <w:style w:type="paragraph" w:styleId="Caption">
    <w:name w:val="caption"/>
    <w:basedOn w:val="Normal"/>
    <w:next w:val="Normal"/>
    <w:unhideWhenUsed/>
    <w:rsid w:val="007E110D"/>
    <w:pPr>
      <w:spacing w:after="200"/>
    </w:pPr>
    <w:rPr>
      <w:b/>
      <w:bCs/>
      <w:color w:val="452669" w:themeColor="accent1"/>
      <w:sz w:val="18"/>
      <w:szCs w:val="18"/>
    </w:rPr>
  </w:style>
  <w:style w:type="paragraph" w:customStyle="1" w:styleId="VisionBox">
    <w:name w:val="VisionBox"/>
    <w:basedOn w:val="Normal"/>
    <w:qFormat/>
    <w:rsid w:val="007E110D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7E110D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7E110D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7E110D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7E110D"/>
    <w:pPr>
      <w:spacing w:after="0" w:line="240" w:lineRule="auto"/>
    </w:pPr>
    <w:rPr>
      <w:rFonts w:ascii="Arial" w:eastAsia="Times New Roman" w:hAnsi="Arial"/>
      <w:color w:val="000000" w:themeColor="text1"/>
      <w:sz w:val="21"/>
      <w:szCs w:val="20"/>
      <w:lang w:eastAsia="en-AU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7E110D"/>
    <w:rPr>
      <w:rFonts w:ascii="Arial" w:eastAsia="Times New Roman" w:hAnsi="Arial"/>
      <w:b/>
      <w:color w:val="000000" w:themeColor="text1"/>
      <w:sz w:val="22"/>
      <w:lang w:val="en-US"/>
    </w:rPr>
  </w:style>
  <w:style w:type="paragraph" w:customStyle="1" w:styleId="IntroPara">
    <w:name w:val="Intro Para"/>
    <w:basedOn w:val="Paragraphtext"/>
    <w:next w:val="Paragraphtext"/>
    <w:qFormat/>
    <w:rsid w:val="007E110D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7E110D"/>
    <w:pPr>
      <w:jc w:val="right"/>
    </w:pPr>
  </w:style>
  <w:style w:type="paragraph" w:customStyle="1" w:styleId="Tabletextright0">
    <w:name w:val="Table text right"/>
    <w:basedOn w:val="Tabletextleft"/>
    <w:rsid w:val="007E110D"/>
    <w:pPr>
      <w:jc w:val="right"/>
    </w:pPr>
  </w:style>
  <w:style w:type="paragraph" w:customStyle="1" w:styleId="Tabletextcentre">
    <w:name w:val="Table text centre"/>
    <w:basedOn w:val="Tabletextleft"/>
    <w:rsid w:val="007E110D"/>
    <w:pPr>
      <w:jc w:val="center"/>
    </w:pPr>
  </w:style>
  <w:style w:type="paragraph" w:customStyle="1" w:styleId="Boxheading">
    <w:name w:val="Box heading"/>
    <w:basedOn w:val="Boxtype"/>
    <w:rsid w:val="007E110D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7E110D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7E1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1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10D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1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110D"/>
    <w:rPr>
      <w:rFonts w:ascii="Arial" w:eastAsia="Times New Roman" w:hAnsi="Arial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E110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/>
      <w:color w:val="331C4E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E110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C484E"/>
    <w:pPr>
      <w:tabs>
        <w:tab w:val="right" w:leader="dot" w:pos="9060"/>
      </w:tabs>
      <w:spacing w:after="100" w:line="259" w:lineRule="auto"/>
    </w:pPr>
    <w:rPr>
      <w:rFonts w:eastAsiaTheme="minorEastAsia" w:cs="Arial"/>
      <w:noProof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C484E"/>
    <w:pPr>
      <w:tabs>
        <w:tab w:val="right" w:leader="dot" w:pos="9016"/>
      </w:tabs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paragraph">
    <w:name w:val="paragraph"/>
    <w:basedOn w:val="Normal"/>
    <w:rsid w:val="007E110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7E110D"/>
  </w:style>
  <w:style w:type="character" w:customStyle="1" w:styleId="eop">
    <w:name w:val="eop"/>
    <w:basedOn w:val="DefaultParagraphFont"/>
    <w:rsid w:val="007E110D"/>
  </w:style>
  <w:style w:type="character" w:styleId="FootnoteReference">
    <w:name w:val="footnote reference"/>
    <w:basedOn w:val="DefaultParagraphFont"/>
    <w:semiHidden/>
    <w:unhideWhenUsed/>
    <w:rsid w:val="007E110D"/>
    <w:rPr>
      <w:vertAlign w:val="superscript"/>
    </w:rPr>
  </w:style>
  <w:style w:type="character" w:customStyle="1" w:styleId="findhit">
    <w:name w:val="findhit"/>
    <w:basedOn w:val="DefaultParagraphFont"/>
    <w:rsid w:val="007E110D"/>
  </w:style>
  <w:style w:type="character" w:styleId="UnresolvedMention">
    <w:name w:val="Unresolved Mention"/>
    <w:basedOn w:val="DefaultParagraphFont"/>
    <w:uiPriority w:val="99"/>
    <w:unhideWhenUsed/>
    <w:rsid w:val="007E110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E110D"/>
    <w:rPr>
      <w:color w:val="2B579A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7E110D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StyleColBandSize w:val="1"/>
      <w:tblBorders>
        <w:top w:val="single" w:sz="2" w:space="0" w:color="8C5DC4" w:themeColor="accent1" w:themeTint="99"/>
        <w:bottom w:val="single" w:sz="2" w:space="0" w:color="8C5DC4" w:themeColor="accent1" w:themeTint="99"/>
        <w:insideH w:val="single" w:sz="2" w:space="0" w:color="8C5DC4" w:themeColor="accent1" w:themeTint="99"/>
        <w:insideV w:val="single" w:sz="2" w:space="0" w:color="8C5D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5D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5D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8EB" w:themeFill="accent1" w:themeFillTint="33"/>
      </w:tcPr>
    </w:tblStylePr>
    <w:tblStylePr w:type="band1Horz">
      <w:tblPr/>
      <w:tcPr>
        <w:shd w:val="clear" w:color="auto" w:fill="D8C8EB" w:themeFill="accent1" w:themeFillTint="33"/>
      </w:tcPr>
    </w:tblStylePr>
  </w:style>
  <w:style w:type="character" w:styleId="FollowedHyperlink">
    <w:name w:val="FollowedHyperlink"/>
    <w:basedOn w:val="DefaultParagraphFont"/>
    <w:semiHidden/>
    <w:unhideWhenUsed/>
    <w:rsid w:val="007E110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E110D"/>
    <w:pPr>
      <w:spacing w:after="0" w:line="240" w:lineRule="auto"/>
    </w:pPr>
    <w:rPr>
      <w:rFonts w:ascii="Arial" w:eastAsia="Times New Roman" w:hAnsi="Arial"/>
      <w:sz w:val="22"/>
    </w:rPr>
  </w:style>
  <w:style w:type="paragraph" w:styleId="EndnoteText">
    <w:name w:val="endnote text"/>
    <w:basedOn w:val="Normal"/>
    <w:link w:val="EndnoteTextChar"/>
    <w:semiHidden/>
    <w:unhideWhenUsed/>
    <w:rsid w:val="007E11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E110D"/>
    <w:rPr>
      <w:rFonts w:ascii="Arial" w:eastAsia="Times New Roman" w:hAnsi="Arial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7E11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g"/><Relationship Id="rId25" Type="http://schemas.openxmlformats.org/officeDocument/2006/relationships/image" Target="media/image14.sv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2.svg"/><Relationship Id="rId28" Type="http://schemas.openxmlformats.org/officeDocument/2006/relationships/image" Target="media/image17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11.png"/><Relationship Id="rId27" Type="http://schemas.openxmlformats.org/officeDocument/2006/relationships/image" Target="media/image16.svg"/><Relationship Id="rId30" Type="http://schemas.openxmlformats.org/officeDocument/2006/relationships/image" Target="media/image19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yalcommission.gov.au/aged-care/final-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1">
  <a:themeElements>
    <a:clrScheme name="Custom 3">
      <a:dk1>
        <a:sysClr val="windowText" lastClr="000000"/>
      </a:dk1>
      <a:lt1>
        <a:sysClr val="window" lastClr="FFFFFF"/>
      </a:lt1>
      <a:dk2>
        <a:srgbClr val="452669"/>
      </a:dk2>
      <a:lt2>
        <a:srgbClr val="E7E6E6"/>
      </a:lt2>
      <a:accent1>
        <a:srgbClr val="452669"/>
      </a:accent1>
      <a:accent2>
        <a:srgbClr val="59237B"/>
      </a:accent2>
      <a:accent3>
        <a:srgbClr val="C596C4"/>
      </a:accent3>
      <a:accent4>
        <a:srgbClr val="78226D"/>
      </a:accent4>
      <a:accent5>
        <a:srgbClr val="174F9A"/>
      </a:accent5>
      <a:accent6>
        <a:srgbClr val="D9493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963B68097CC7E4E856AFD4B33F9D4E6" ma:contentTypeVersion="" ma:contentTypeDescription="PDMS Document Site Content Type" ma:contentTypeScope="" ma:versionID="6f090cb7b46389b44bf449a995db1191">
  <xsd:schema xmlns:xsd="http://www.w3.org/2001/XMLSchema" xmlns:xs="http://www.w3.org/2001/XMLSchema" xmlns:p="http://schemas.microsoft.com/office/2006/metadata/properties" xmlns:ns2="4EE35B0B-2205-4D14-857E-1C6EF5913C3C" targetNamespace="http://schemas.microsoft.com/office/2006/metadata/properties" ma:root="true" ma:fieldsID="4cea7ff78702500a18d886c529f1fa04" ns2:_="">
    <xsd:import namespace="4EE35B0B-2205-4D14-857E-1C6EF5913C3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5B0B-2205-4D14-857E-1C6EF5913C3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E35B0B-2205-4D14-857E-1C6EF5913C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9FDFA-96BF-42CE-81C4-7AB5AEECA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35B0B-2205-4D14-857E-1C6EF5913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DF049-6FD1-4127-A779-5E18AD2FA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D2B02-0700-447D-A7D3-0B5C78C43FAA}">
  <ds:schemaRefs>
    <ds:schemaRef ds:uri="http://schemas.microsoft.com/office/2006/metadata/properties"/>
    <ds:schemaRef ds:uri="http://schemas.microsoft.com/office/infopath/2007/PartnerControls"/>
    <ds:schemaRef ds:uri="4EE35B0B-2205-4D14-857E-1C6EF5913C3C"/>
  </ds:schemaRefs>
</ds:datastoreItem>
</file>

<file path=customXml/itemProps4.xml><?xml version="1.0" encoding="utf-8"?>
<ds:datastoreItem xmlns:ds="http://schemas.openxmlformats.org/officeDocument/2006/customXml" ds:itemID="{2788C45E-CEC7-4776-8DC4-92D77AD60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3663</Words>
  <Characters>20807</Characters>
  <Application>Microsoft Office Word</Application>
  <DocSecurity>0</DocSecurity>
  <Lines>483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Plan 2023-2024</vt:lpstr>
    </vt:vector>
  </TitlesOfParts>
  <Company/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Plan 2023-2024</dc:title>
  <dc:subject/>
  <dc:creator>Office of the Inspector-General of Aged Care</dc:creator>
  <cp:keywords>aged care; </cp:keywords>
  <dc:description/>
  <cp:lastModifiedBy>HAMLEY, Erynn</cp:lastModifiedBy>
  <cp:revision>2</cp:revision>
  <cp:lastPrinted>2023-11-28T04:36:00Z</cp:lastPrinted>
  <dcterms:created xsi:type="dcterms:W3CDTF">2023-12-20T02:54:00Z</dcterms:created>
  <dcterms:modified xsi:type="dcterms:W3CDTF">2023-12-20T02:54:00Z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0x010100266966F133664895A6EE3632470D45F500B963B68097CC7E4E856AFD4B33F9D4E6</vt:lpwstr>
  </property>
  <property fmtid="{D5CDD505-2E9C-101B-9397-08002B2CF9AE}" pid="3" name="MediaServiceImageTags">
    <vt:lpwstr/>
  </property>
</Properties>
</file>