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2C7E" w14:textId="6BB49A54" w:rsidR="0093149A" w:rsidRDefault="0093149A" w:rsidP="00A90CF3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>Role</w:t>
      </w:r>
      <w:r w:rsidR="000C5042">
        <w:rPr>
          <w:shd w:val="clear" w:color="auto" w:fill="FFFFFF"/>
        </w:rPr>
        <w:t xml:space="preserve"> and</w:t>
      </w:r>
      <w:r>
        <w:rPr>
          <w:shd w:val="clear" w:color="auto" w:fill="FFFFFF"/>
        </w:rPr>
        <w:t xml:space="preserve"> </w:t>
      </w:r>
      <w:r w:rsidR="000C5042">
        <w:rPr>
          <w:shd w:val="clear" w:color="auto" w:fill="FFFFFF"/>
        </w:rPr>
        <w:t>f</w:t>
      </w:r>
      <w:r>
        <w:rPr>
          <w:shd w:val="clear" w:color="auto" w:fill="FFFFFF"/>
        </w:rPr>
        <w:t>unctions</w:t>
      </w:r>
    </w:p>
    <w:p w14:paraId="6FE721F4" w14:textId="630DA4F2" w:rsidR="00802104" w:rsidRPr="00802104" w:rsidRDefault="008D1535" w:rsidP="00802104">
      <w:pPr>
        <w:pStyle w:val="Subtitle"/>
      </w:pPr>
      <w:r>
        <w:t>January</w:t>
      </w:r>
      <w:r w:rsidR="00802104">
        <w:t xml:space="preserve"> 202</w:t>
      </w:r>
      <w:r>
        <w:t>4</w:t>
      </w:r>
    </w:p>
    <w:p w14:paraId="219B387E" w14:textId="7D83C5FE" w:rsidR="00381191" w:rsidRDefault="1393E11D" w:rsidP="00247D22">
      <w:pPr>
        <w:rPr>
          <w:b/>
          <w:bCs/>
          <w:shd w:val="clear" w:color="auto" w:fill="FFFFFF"/>
        </w:rPr>
      </w:pPr>
      <w:r w:rsidRPr="053446C2">
        <w:rPr>
          <w:shd w:val="clear" w:color="auto" w:fill="FFFFFF"/>
        </w:rPr>
        <w:t xml:space="preserve">The Royal Commission into Aged Care Quality and Safety called for the establishment of an Inspector-General of Aged Care (Inspector-General) </w:t>
      </w:r>
      <w:r w:rsidR="7BCF5101" w:rsidRPr="053446C2">
        <w:rPr>
          <w:shd w:val="clear" w:color="auto" w:fill="FFFFFF"/>
        </w:rPr>
        <w:t xml:space="preserve">and supporting office, </w:t>
      </w:r>
      <w:r w:rsidRPr="053446C2">
        <w:rPr>
          <w:shd w:val="clear" w:color="auto" w:fill="FFFFFF"/>
        </w:rPr>
        <w:t>to improve transparency and accountability and address longstanding systemic issues across the aged care sector.</w:t>
      </w:r>
    </w:p>
    <w:p w14:paraId="1708E397" w14:textId="55726100" w:rsidR="00F9498A" w:rsidRPr="00247D22" w:rsidRDefault="00F9498A" w:rsidP="00247D22">
      <w:pPr>
        <w:pStyle w:val="Heading2"/>
      </w:pPr>
      <w:r w:rsidRPr="00247D22">
        <w:t xml:space="preserve">What is the role of the Inspector-General of Aged </w:t>
      </w:r>
      <w:r w:rsidR="2BBD7673" w:rsidRPr="00247D22">
        <w:t>Care</w:t>
      </w:r>
      <w:r w:rsidRPr="00247D22">
        <w:t>?</w:t>
      </w:r>
    </w:p>
    <w:p w14:paraId="67A3D713" w14:textId="77777777" w:rsidR="001D383A" w:rsidRPr="00F73ACD" w:rsidRDefault="001D383A" w:rsidP="00247D22">
      <w:pPr>
        <w:rPr>
          <w:b/>
          <w:bCs/>
        </w:rPr>
      </w:pPr>
      <w:r w:rsidRPr="00F73ACD">
        <w:t>The Inspector-General will play a critical role in driving improvement across the aged care system by:</w:t>
      </w:r>
    </w:p>
    <w:p w14:paraId="137EDF47" w14:textId="657A2891" w:rsidR="001D383A" w:rsidRPr="00247D22" w:rsidRDefault="001D383A" w:rsidP="00247D22">
      <w:pPr>
        <w:pStyle w:val="ListParagraph"/>
        <w:numPr>
          <w:ilvl w:val="0"/>
          <w:numId w:val="19"/>
        </w:numPr>
        <w:rPr>
          <w:rFonts w:cstheme="minorHAnsi"/>
          <w:shd w:val="clear" w:color="auto" w:fill="FFFFFF"/>
        </w:rPr>
      </w:pPr>
      <w:r w:rsidRPr="00247D22">
        <w:rPr>
          <w:rFonts w:cstheme="minorHAnsi"/>
          <w:shd w:val="clear" w:color="auto" w:fill="FFFFFF"/>
        </w:rPr>
        <w:t>looking at it from end</w:t>
      </w:r>
      <w:r w:rsidR="00517AA7" w:rsidRPr="00247D22">
        <w:rPr>
          <w:rFonts w:cstheme="minorHAnsi"/>
          <w:shd w:val="clear" w:color="auto" w:fill="FFFFFF"/>
        </w:rPr>
        <w:t>-</w:t>
      </w:r>
      <w:r w:rsidRPr="00247D22">
        <w:rPr>
          <w:rFonts w:cstheme="minorHAnsi"/>
          <w:shd w:val="clear" w:color="auto" w:fill="FFFFFF"/>
        </w:rPr>
        <w:t>to</w:t>
      </w:r>
      <w:r w:rsidR="00517AA7" w:rsidRPr="00247D22">
        <w:rPr>
          <w:rFonts w:cstheme="minorHAnsi"/>
          <w:shd w:val="clear" w:color="auto" w:fill="FFFFFF"/>
        </w:rPr>
        <w:t>-</w:t>
      </w:r>
      <w:r w:rsidRPr="00247D22">
        <w:rPr>
          <w:rFonts w:cstheme="minorHAnsi"/>
          <w:shd w:val="clear" w:color="auto" w:fill="FFFFFF"/>
        </w:rPr>
        <w:t>end, calling out systemic issues</w:t>
      </w:r>
      <w:r w:rsidR="00064B31" w:rsidRPr="00247D22">
        <w:rPr>
          <w:rFonts w:cstheme="minorHAnsi"/>
          <w:shd w:val="clear" w:color="auto" w:fill="FFFFFF"/>
        </w:rPr>
        <w:t>,</w:t>
      </w:r>
      <w:r w:rsidR="009F117E" w:rsidRPr="00247D22">
        <w:rPr>
          <w:rFonts w:cstheme="minorHAnsi"/>
          <w:shd w:val="clear" w:color="auto" w:fill="FFFFFF"/>
        </w:rPr>
        <w:t xml:space="preserve"> </w:t>
      </w:r>
      <w:r w:rsidRPr="00247D22">
        <w:rPr>
          <w:rFonts w:cstheme="minorHAnsi"/>
          <w:shd w:val="clear" w:color="auto" w:fill="FFFFFF"/>
        </w:rPr>
        <w:t>and</w:t>
      </w:r>
      <w:r w:rsidR="00064B31" w:rsidRPr="00247D22">
        <w:rPr>
          <w:rFonts w:cstheme="minorHAnsi"/>
          <w:shd w:val="clear" w:color="auto" w:fill="FFFFFF"/>
        </w:rPr>
        <w:t xml:space="preserve"> making</w:t>
      </w:r>
      <w:r w:rsidRPr="00247D22">
        <w:rPr>
          <w:rFonts w:cstheme="minorHAnsi"/>
          <w:shd w:val="clear" w:color="auto" w:fill="FFFFFF"/>
        </w:rPr>
        <w:t xml:space="preserve"> recommend</w:t>
      </w:r>
      <w:r w:rsidR="00064B31" w:rsidRPr="00247D22">
        <w:rPr>
          <w:rFonts w:cstheme="minorHAnsi"/>
          <w:shd w:val="clear" w:color="auto" w:fill="FFFFFF"/>
        </w:rPr>
        <w:t>ations</w:t>
      </w:r>
    </w:p>
    <w:p w14:paraId="05486570" w14:textId="77777777" w:rsidR="001D383A" w:rsidRPr="00247D22" w:rsidRDefault="001D383A" w:rsidP="00247D22">
      <w:pPr>
        <w:pStyle w:val="ListParagraph"/>
        <w:numPr>
          <w:ilvl w:val="0"/>
          <w:numId w:val="19"/>
        </w:numPr>
        <w:rPr>
          <w:rFonts w:cstheme="minorHAnsi"/>
          <w:shd w:val="clear" w:color="auto" w:fill="FFFFFF"/>
        </w:rPr>
      </w:pPr>
      <w:r w:rsidRPr="00247D22">
        <w:rPr>
          <w:rFonts w:cstheme="minorHAnsi"/>
          <w:shd w:val="clear" w:color="auto" w:fill="FFFFFF"/>
        </w:rPr>
        <w:t>providing increased accountability and transparency through reporting to Parliament, including on the progress of the implementation of Royal Commission recommendations.</w:t>
      </w:r>
    </w:p>
    <w:p w14:paraId="2A662688" w14:textId="60CE0B29" w:rsidR="00997EEE" w:rsidRPr="00F73ACD" w:rsidRDefault="00997EEE" w:rsidP="00247D22">
      <w:pPr>
        <w:rPr>
          <w:b/>
          <w:bCs/>
        </w:rPr>
      </w:pPr>
      <w:r w:rsidRPr="00F73ACD">
        <w:t>T</w:t>
      </w:r>
      <w:r w:rsidR="00EB72F2" w:rsidRPr="00F73ACD">
        <w:t xml:space="preserve">he </w:t>
      </w:r>
      <w:r w:rsidRPr="00F73ACD">
        <w:t xml:space="preserve">Inspector-General </w:t>
      </w:r>
      <w:r w:rsidR="00EA0F9E" w:rsidRPr="00F73ACD">
        <w:t xml:space="preserve">will be responsible for </w:t>
      </w:r>
      <w:r w:rsidR="00DA59B3">
        <w:t>scrutinising</w:t>
      </w:r>
      <w:r w:rsidR="00613F0A" w:rsidRPr="00F73ACD">
        <w:t xml:space="preserve"> </w:t>
      </w:r>
      <w:r w:rsidRPr="00F73ACD">
        <w:t xml:space="preserve">the Australian Government's administration, </w:t>
      </w:r>
      <w:r w:rsidR="009126AF" w:rsidRPr="00F73ACD">
        <w:t>regulation,</w:t>
      </w:r>
      <w:r w:rsidRPr="00F73ACD">
        <w:t xml:space="preserve"> and funding of aged care, including: </w:t>
      </w:r>
    </w:p>
    <w:p w14:paraId="2BE1001B" w14:textId="5CE97D84" w:rsidR="00997EEE" w:rsidRPr="00247D22" w:rsidRDefault="00997EEE" w:rsidP="00247D22">
      <w:pPr>
        <w:pStyle w:val="ListParagraph"/>
        <w:numPr>
          <w:ilvl w:val="0"/>
          <w:numId w:val="20"/>
        </w:numPr>
        <w:rPr>
          <w:rFonts w:cstheme="minorHAnsi"/>
          <w:shd w:val="clear" w:color="auto" w:fill="FFFFFF"/>
        </w:rPr>
      </w:pPr>
      <w:r w:rsidRPr="00247D22">
        <w:rPr>
          <w:rFonts w:cstheme="minorHAnsi"/>
          <w:shd w:val="clear" w:color="auto" w:fill="FFFFFF"/>
        </w:rPr>
        <w:t>the Department of Health and Aged Care</w:t>
      </w:r>
    </w:p>
    <w:p w14:paraId="71CDD755" w14:textId="04812266" w:rsidR="00997EEE" w:rsidRPr="00247D22" w:rsidRDefault="00997EEE" w:rsidP="00247D22">
      <w:pPr>
        <w:pStyle w:val="ListParagraph"/>
        <w:numPr>
          <w:ilvl w:val="0"/>
          <w:numId w:val="20"/>
        </w:numPr>
        <w:rPr>
          <w:rFonts w:cstheme="minorHAnsi"/>
          <w:shd w:val="clear" w:color="auto" w:fill="FFFFFF"/>
        </w:rPr>
      </w:pPr>
      <w:r w:rsidRPr="00247D22">
        <w:rPr>
          <w:rFonts w:cstheme="minorHAnsi"/>
          <w:shd w:val="clear" w:color="auto" w:fill="FFFFFF"/>
        </w:rPr>
        <w:t>the Aged Care Quality and Safety Commission</w:t>
      </w:r>
    </w:p>
    <w:p w14:paraId="00CADBAF" w14:textId="691156AE" w:rsidR="00997EEE" w:rsidRPr="00247D22" w:rsidRDefault="00997EEE" w:rsidP="00247D22">
      <w:pPr>
        <w:pStyle w:val="ListParagraph"/>
        <w:numPr>
          <w:ilvl w:val="0"/>
          <w:numId w:val="20"/>
        </w:numPr>
        <w:rPr>
          <w:rFonts w:cstheme="minorHAnsi"/>
          <w:shd w:val="clear" w:color="auto" w:fill="FFFFFF"/>
        </w:rPr>
      </w:pPr>
      <w:r w:rsidRPr="00247D22">
        <w:rPr>
          <w:rFonts w:cstheme="minorHAnsi"/>
          <w:shd w:val="clear" w:color="auto" w:fill="FFFFFF"/>
        </w:rPr>
        <w:t>the Independent Health and Aged Care Pricing Authority</w:t>
      </w:r>
    </w:p>
    <w:p w14:paraId="53EF8CBB" w14:textId="05AAEA32" w:rsidR="00F0311E" w:rsidRPr="00247D22" w:rsidRDefault="00997EEE" w:rsidP="00247D22">
      <w:pPr>
        <w:pStyle w:val="ListParagraph"/>
        <w:numPr>
          <w:ilvl w:val="0"/>
          <w:numId w:val="20"/>
        </w:numPr>
        <w:rPr>
          <w:rFonts w:cstheme="minorHAnsi"/>
          <w:shd w:val="clear" w:color="auto" w:fill="FFFFFF"/>
        </w:rPr>
      </w:pPr>
      <w:r w:rsidRPr="00247D22">
        <w:rPr>
          <w:rFonts w:cstheme="minorHAnsi"/>
          <w:shd w:val="clear" w:color="auto" w:fill="FFFFFF"/>
        </w:rPr>
        <w:t>other services or bodies in the aged care system regulated or funded by the Australian Government.</w:t>
      </w:r>
    </w:p>
    <w:p w14:paraId="2ABA54F9" w14:textId="365D05F4" w:rsidR="008927DF" w:rsidRPr="00F73ACD" w:rsidRDefault="008927DF" w:rsidP="00247D22">
      <w:pPr>
        <w:rPr>
          <w:b/>
          <w:bCs/>
        </w:rPr>
      </w:pPr>
      <w:r w:rsidRPr="00F73ACD">
        <w:t xml:space="preserve">This </w:t>
      </w:r>
      <w:r w:rsidR="00C53EBE" w:rsidRPr="00F73ACD">
        <w:t>is</w:t>
      </w:r>
      <w:r w:rsidRPr="00F73ACD">
        <w:t xml:space="preserve"> accomplished through a series of activities. These include:</w:t>
      </w:r>
    </w:p>
    <w:p w14:paraId="6783FAF5" w14:textId="1EA551AA" w:rsidR="00D75AB9" w:rsidRPr="00F0311E" w:rsidRDefault="00B43690" w:rsidP="00247D22">
      <w:pPr>
        <w:pStyle w:val="Heading2"/>
      </w:pPr>
      <w:r w:rsidRPr="00F0311E">
        <w:t>Reviews </w:t>
      </w:r>
    </w:p>
    <w:p w14:paraId="601B4864" w14:textId="2FDAF740" w:rsidR="00B43690" w:rsidRPr="005C2F17" w:rsidRDefault="00B43690" w:rsidP="00247D22">
      <w:pPr>
        <w:rPr>
          <w:b/>
          <w:bCs/>
        </w:rPr>
      </w:pPr>
      <w:r w:rsidRPr="005C2F17">
        <w:t>We help to improve the aged care system through in-depth investigations and advice to the Australian Government. To complete a review, we: </w:t>
      </w:r>
    </w:p>
    <w:p w14:paraId="11B50EE1" w14:textId="5AF0A766" w:rsidR="00B43690" w:rsidRPr="00247D22" w:rsidRDefault="00B43690" w:rsidP="00247D22">
      <w:pPr>
        <w:pStyle w:val="ListParagraph"/>
        <w:numPr>
          <w:ilvl w:val="0"/>
          <w:numId w:val="21"/>
        </w:numPr>
        <w:rPr>
          <w:shd w:val="clear" w:color="auto" w:fill="FFFFFF"/>
        </w:rPr>
      </w:pPr>
      <w:r w:rsidRPr="00247D22">
        <w:rPr>
          <w:shd w:val="clear" w:color="auto" w:fill="FFFFFF"/>
        </w:rPr>
        <w:t xml:space="preserve">examine </w:t>
      </w:r>
      <w:r w:rsidR="00C97900" w:rsidRPr="00247D22">
        <w:rPr>
          <w:shd w:val="clear" w:color="auto" w:fill="FFFFFF"/>
        </w:rPr>
        <w:t>significant</w:t>
      </w:r>
      <w:r w:rsidRPr="00247D22">
        <w:rPr>
          <w:shd w:val="clear" w:color="auto" w:fill="FFFFFF"/>
        </w:rPr>
        <w:t xml:space="preserve"> systemic issues or topics that affects the government's regulation, administration or funding of aged care services and the delivery of those </w:t>
      </w:r>
      <w:proofErr w:type="gramStart"/>
      <w:r w:rsidRPr="00247D22">
        <w:rPr>
          <w:shd w:val="clear" w:color="auto" w:fill="FFFFFF"/>
        </w:rPr>
        <w:t>services</w:t>
      </w:r>
      <w:proofErr w:type="gramEnd"/>
      <w:r w:rsidRPr="00247D22">
        <w:rPr>
          <w:shd w:val="clear" w:color="auto" w:fill="FFFFFF"/>
        </w:rPr>
        <w:t> </w:t>
      </w:r>
    </w:p>
    <w:p w14:paraId="749F2F0C" w14:textId="438E5A78" w:rsidR="00EB72F2" w:rsidRPr="00247D22" w:rsidRDefault="00C97900" w:rsidP="00247D22">
      <w:pPr>
        <w:pStyle w:val="ListParagraph"/>
        <w:numPr>
          <w:ilvl w:val="0"/>
          <w:numId w:val="21"/>
        </w:numPr>
        <w:rPr>
          <w:shd w:val="clear" w:color="auto" w:fill="FFFFFF"/>
        </w:rPr>
      </w:pPr>
      <w:r w:rsidRPr="00247D22">
        <w:rPr>
          <w:shd w:val="clear" w:color="auto" w:fill="FFFFFF"/>
        </w:rPr>
        <w:t>make</w:t>
      </w:r>
      <w:r w:rsidR="00D92FF0" w:rsidRPr="00247D22">
        <w:rPr>
          <w:shd w:val="clear" w:color="auto" w:fill="FFFFFF"/>
        </w:rPr>
        <w:t xml:space="preserve"> findings and</w:t>
      </w:r>
      <w:r w:rsidRPr="00247D22">
        <w:rPr>
          <w:shd w:val="clear" w:color="auto" w:fill="FFFFFF"/>
        </w:rPr>
        <w:t xml:space="preserve"> </w:t>
      </w:r>
      <w:r w:rsidR="00B43690" w:rsidRPr="00247D22">
        <w:rPr>
          <w:shd w:val="clear" w:color="auto" w:fill="FFFFFF"/>
        </w:rPr>
        <w:t>recommend</w:t>
      </w:r>
      <w:r w:rsidRPr="00247D22">
        <w:rPr>
          <w:shd w:val="clear" w:color="auto" w:fill="FFFFFF"/>
        </w:rPr>
        <w:t xml:space="preserve">ations </w:t>
      </w:r>
      <w:r w:rsidR="00B43690" w:rsidRPr="00247D22">
        <w:rPr>
          <w:shd w:val="clear" w:color="auto" w:fill="FFFFFF"/>
        </w:rPr>
        <w:t xml:space="preserve">to address the </w:t>
      </w:r>
      <w:proofErr w:type="gramStart"/>
      <w:r w:rsidR="00B43690" w:rsidRPr="00247D22">
        <w:rPr>
          <w:shd w:val="clear" w:color="auto" w:fill="FFFFFF"/>
        </w:rPr>
        <w:t>issu</w:t>
      </w:r>
      <w:r w:rsidR="0036335C" w:rsidRPr="00247D22">
        <w:rPr>
          <w:shd w:val="clear" w:color="auto" w:fill="FFFFFF"/>
        </w:rPr>
        <w:t>e</w:t>
      </w:r>
      <w:r w:rsidR="002930F8" w:rsidRPr="00247D22">
        <w:rPr>
          <w:shd w:val="clear" w:color="auto" w:fill="FFFFFF"/>
        </w:rPr>
        <w:t>s</w:t>
      </w:r>
      <w:proofErr w:type="gramEnd"/>
    </w:p>
    <w:p w14:paraId="5D7929DA" w14:textId="21F8EFE3" w:rsidR="00B1147B" w:rsidRPr="00247D22" w:rsidRDefault="00B1147B" w:rsidP="00247D22">
      <w:pPr>
        <w:pStyle w:val="ListParagraph"/>
        <w:numPr>
          <w:ilvl w:val="0"/>
          <w:numId w:val="21"/>
        </w:numPr>
        <w:rPr>
          <w:shd w:val="clear" w:color="auto" w:fill="FFFFFF"/>
        </w:rPr>
      </w:pPr>
      <w:r w:rsidRPr="00247D22">
        <w:rPr>
          <w:shd w:val="clear" w:color="auto" w:fill="FFFFFF"/>
        </w:rPr>
        <w:t>publish a report that is tabled in Parliament.</w:t>
      </w:r>
    </w:p>
    <w:p w14:paraId="5EC07CA8" w14:textId="41503EA3" w:rsidR="00D75AB9" w:rsidRPr="00F0311E" w:rsidRDefault="00B43690" w:rsidP="00247D22">
      <w:pPr>
        <w:pStyle w:val="Heading2"/>
      </w:pPr>
      <w:r w:rsidRPr="00F0311E">
        <w:t>Oversight of complaints management </w:t>
      </w:r>
      <w:r w:rsidR="00630022">
        <w:t>frameworks</w:t>
      </w:r>
    </w:p>
    <w:p w14:paraId="69E11F19" w14:textId="2714A4C8" w:rsidR="00B43690" w:rsidRPr="00EB72F2" w:rsidRDefault="00B43690" w:rsidP="00247D22">
      <w:pPr>
        <w:rPr>
          <w:shd w:val="clear" w:color="auto" w:fill="FFFFFF"/>
        </w:rPr>
      </w:pPr>
      <w:r w:rsidRPr="00EB72F2">
        <w:rPr>
          <w:shd w:val="clear" w:color="auto" w:fill="FFFFFF"/>
        </w:rPr>
        <w:t xml:space="preserve">We also </w:t>
      </w:r>
      <w:r w:rsidR="00A32FE5">
        <w:rPr>
          <w:shd w:val="clear" w:color="auto" w:fill="FFFFFF"/>
        </w:rPr>
        <w:t>monitor</w:t>
      </w:r>
      <w:r w:rsidR="00A32FE5" w:rsidRPr="00EB72F2">
        <w:rPr>
          <w:shd w:val="clear" w:color="auto" w:fill="FFFFFF"/>
        </w:rPr>
        <w:t xml:space="preserve"> </w:t>
      </w:r>
      <w:r w:rsidRPr="00EB72F2">
        <w:rPr>
          <w:shd w:val="clear" w:color="auto" w:fill="FFFFFF"/>
        </w:rPr>
        <w:t xml:space="preserve">and review </w:t>
      </w:r>
      <w:r w:rsidR="00CD4A7D">
        <w:rPr>
          <w:shd w:val="clear" w:color="auto" w:fill="FFFFFF"/>
        </w:rPr>
        <w:t xml:space="preserve">the </w:t>
      </w:r>
      <w:r w:rsidR="0036335C">
        <w:rPr>
          <w:shd w:val="clear" w:color="auto" w:fill="FFFFFF"/>
        </w:rPr>
        <w:t>aged care</w:t>
      </w:r>
      <w:r w:rsidR="002A6C27">
        <w:rPr>
          <w:shd w:val="clear" w:color="auto" w:fill="FFFFFF"/>
        </w:rPr>
        <w:t xml:space="preserve"> </w:t>
      </w:r>
      <w:r w:rsidR="00A32FE5">
        <w:rPr>
          <w:shd w:val="clear" w:color="auto" w:fill="FFFFFF"/>
        </w:rPr>
        <w:t xml:space="preserve">complaints </w:t>
      </w:r>
      <w:r w:rsidR="00210239">
        <w:rPr>
          <w:shd w:val="clear" w:color="auto" w:fill="FFFFFF"/>
        </w:rPr>
        <w:t xml:space="preserve">systems and frameworks used </w:t>
      </w:r>
      <w:r w:rsidR="002A6C27">
        <w:rPr>
          <w:shd w:val="clear" w:color="auto" w:fill="FFFFFF"/>
        </w:rPr>
        <w:t xml:space="preserve">or administered </w:t>
      </w:r>
      <w:r w:rsidRPr="00EB72F2">
        <w:rPr>
          <w:shd w:val="clear" w:color="auto" w:fill="FFFFFF"/>
        </w:rPr>
        <w:t>by: </w:t>
      </w:r>
    </w:p>
    <w:p w14:paraId="7C72ECA0" w14:textId="77777777" w:rsidR="00B43690" w:rsidRPr="00247D22" w:rsidRDefault="00B43690" w:rsidP="00247D22">
      <w:pPr>
        <w:pStyle w:val="ListParagraph"/>
        <w:numPr>
          <w:ilvl w:val="0"/>
          <w:numId w:val="22"/>
        </w:numPr>
        <w:rPr>
          <w:rFonts w:cstheme="minorHAnsi"/>
          <w:shd w:val="clear" w:color="auto" w:fill="FFFFFF"/>
        </w:rPr>
      </w:pPr>
      <w:r w:rsidRPr="00247D22">
        <w:rPr>
          <w:rFonts w:cstheme="minorHAnsi"/>
          <w:shd w:val="clear" w:color="auto" w:fill="FFFFFF"/>
        </w:rPr>
        <w:t>government agencies </w:t>
      </w:r>
    </w:p>
    <w:p w14:paraId="18CAB2DE" w14:textId="77777777" w:rsidR="00B43690" w:rsidRPr="00247D22" w:rsidRDefault="00B43690" w:rsidP="00247D22">
      <w:pPr>
        <w:pStyle w:val="ListParagraph"/>
        <w:numPr>
          <w:ilvl w:val="0"/>
          <w:numId w:val="22"/>
        </w:numPr>
        <w:rPr>
          <w:rFonts w:cstheme="minorHAnsi"/>
          <w:shd w:val="clear" w:color="auto" w:fill="FFFFFF"/>
        </w:rPr>
      </w:pPr>
      <w:r w:rsidRPr="00247D22">
        <w:rPr>
          <w:rFonts w:cstheme="minorHAnsi"/>
          <w:shd w:val="clear" w:color="auto" w:fill="FFFFFF"/>
        </w:rPr>
        <w:t>other aged care bodies funded or regulated by the Australian Government. </w:t>
      </w:r>
    </w:p>
    <w:p w14:paraId="7D610A00" w14:textId="77777777" w:rsidR="00EE47A1" w:rsidRDefault="00EE47A1" w:rsidP="00B43690">
      <w:pPr>
        <w:pStyle w:val="paragraph"/>
        <w:spacing w:before="0" w:beforeAutospacing="0" w:after="0" w:afterAutospacing="0"/>
        <w:textAlignment w:val="baseline"/>
        <w:rPr>
          <w:rFonts w:eastAsiaTheme="minorEastAsia" w:cstheme="minorBidi"/>
          <w:shd w:val="clear" w:color="auto" w:fill="FFFFFF"/>
          <w:lang w:eastAsia="en-US"/>
        </w:rPr>
      </w:pPr>
    </w:p>
    <w:p w14:paraId="5C9D1328" w14:textId="431F3117" w:rsidR="00D75AB9" w:rsidRPr="005C2F17" w:rsidRDefault="00B43690" w:rsidP="00A90CF3">
      <w:r w:rsidRPr="005C2F17">
        <w:t xml:space="preserve">We look at how they handle complaints and </w:t>
      </w:r>
      <w:r w:rsidR="00A32FE5">
        <w:t xml:space="preserve">may </w:t>
      </w:r>
      <w:r w:rsidRPr="005C2F17">
        <w:t>recommend ways to improve their complaints processes. </w:t>
      </w:r>
    </w:p>
    <w:p w14:paraId="3877D38C" w14:textId="384E88A7" w:rsidR="00B43690" w:rsidRPr="00844A0C" w:rsidRDefault="00B43690" w:rsidP="00844A0C">
      <w:pPr>
        <w:pStyle w:val="paragraph"/>
        <w:spacing w:before="0" w:beforeAutospacing="0" w:after="0" w:afterAutospacing="0"/>
        <w:textAlignment w:val="baseline"/>
        <w:rPr>
          <w:rFonts w:eastAsiaTheme="minorEastAsia" w:cstheme="minorBidi"/>
          <w:shd w:val="clear" w:color="auto" w:fill="FFFFFF"/>
          <w:lang w:eastAsia="en-US"/>
        </w:rPr>
      </w:pPr>
      <w:r w:rsidRPr="00844A0C">
        <w:rPr>
          <w:rFonts w:eastAsiaTheme="minorEastAsia" w:cstheme="minorBidi"/>
          <w:shd w:val="clear" w:color="auto" w:fill="FFFFFF"/>
          <w:lang w:eastAsia="en-US"/>
        </w:rPr>
        <w:t>This aims to ensure complaints management processes in aged care are: </w:t>
      </w:r>
    </w:p>
    <w:p w14:paraId="67FB76D3" w14:textId="77777777" w:rsidR="00B43690" w:rsidRPr="00EB72F2" w:rsidRDefault="00B43690" w:rsidP="00EB72F2">
      <w:pPr>
        <w:pStyle w:val="ListParagraph"/>
        <w:numPr>
          <w:ilvl w:val="0"/>
          <w:numId w:val="10"/>
        </w:numPr>
        <w:spacing w:before="120" w:after="120"/>
        <w:rPr>
          <w:rFonts w:cstheme="minorHAnsi"/>
          <w:shd w:val="clear" w:color="auto" w:fill="FFFFFF"/>
        </w:rPr>
      </w:pPr>
      <w:r w:rsidRPr="00EB72F2">
        <w:rPr>
          <w:rFonts w:cstheme="minorHAnsi"/>
          <w:shd w:val="clear" w:color="auto" w:fill="FFFFFF"/>
        </w:rPr>
        <w:t xml:space="preserve">fit for </w:t>
      </w:r>
      <w:proofErr w:type="gramStart"/>
      <w:r w:rsidRPr="00EB72F2">
        <w:rPr>
          <w:rFonts w:cstheme="minorHAnsi"/>
          <w:shd w:val="clear" w:color="auto" w:fill="FFFFFF"/>
        </w:rPr>
        <w:t>purpose</w:t>
      </w:r>
      <w:proofErr w:type="gramEnd"/>
      <w:r w:rsidRPr="00EB72F2">
        <w:rPr>
          <w:rFonts w:cstheme="minorHAnsi"/>
          <w:shd w:val="clear" w:color="auto" w:fill="FFFFFF"/>
        </w:rPr>
        <w:t> </w:t>
      </w:r>
    </w:p>
    <w:p w14:paraId="600F59A8" w14:textId="4021D0C3" w:rsidR="00D75AB9" w:rsidRPr="00EB72F2" w:rsidRDefault="00B43690" w:rsidP="00EB72F2">
      <w:pPr>
        <w:pStyle w:val="ListParagraph"/>
        <w:numPr>
          <w:ilvl w:val="0"/>
          <w:numId w:val="10"/>
        </w:numPr>
        <w:spacing w:before="120" w:after="120"/>
        <w:rPr>
          <w:rFonts w:cstheme="minorHAnsi"/>
          <w:shd w:val="clear" w:color="auto" w:fill="FFFFFF"/>
        </w:rPr>
      </w:pPr>
      <w:r w:rsidRPr="00EB72F2">
        <w:rPr>
          <w:rFonts w:cstheme="minorHAnsi"/>
          <w:shd w:val="clear" w:color="auto" w:fill="FFFFFF"/>
        </w:rPr>
        <w:t>effective, efficient, and accessible.  </w:t>
      </w:r>
    </w:p>
    <w:p w14:paraId="74BAD0AB" w14:textId="0B80120F" w:rsidR="00B43690" w:rsidRPr="00EB72F2" w:rsidRDefault="00B43690" w:rsidP="00B43690">
      <w:pPr>
        <w:pStyle w:val="paragraph"/>
        <w:spacing w:before="0" w:beforeAutospacing="0" w:after="0" w:afterAutospacing="0"/>
        <w:textAlignment w:val="baseline"/>
        <w:rPr>
          <w:rFonts w:eastAsiaTheme="minorEastAsia" w:cstheme="minorBidi"/>
          <w:shd w:val="clear" w:color="auto" w:fill="FFFFFF"/>
          <w:lang w:eastAsia="en-US"/>
        </w:rPr>
      </w:pPr>
      <w:r w:rsidRPr="00EB72F2">
        <w:rPr>
          <w:rFonts w:eastAsiaTheme="minorEastAsia" w:cstheme="minorBidi"/>
          <w:shd w:val="clear" w:color="auto" w:fill="FFFFFF"/>
          <w:lang w:eastAsia="en-US"/>
        </w:rPr>
        <w:t>The Inspector-General does not have the power to investigate individual complaints about aged care. The agency or body the complaint is about is responsible in the first instance. </w:t>
      </w:r>
      <w:r w:rsidR="00C37755" w:rsidRPr="00B161FA">
        <w:rPr>
          <w:rFonts w:cstheme="minorBidi"/>
          <w:color w:val="313131"/>
        </w:rPr>
        <w:t>The complainant may also submit a complaint to the Aged Care Quality and Safety Commission.</w:t>
      </w:r>
    </w:p>
    <w:p w14:paraId="3DE42C94" w14:textId="77777777" w:rsidR="00B43690" w:rsidRPr="00F0311E" w:rsidRDefault="00B43690" w:rsidP="008F7CF0">
      <w:pPr>
        <w:pStyle w:val="Heading2"/>
      </w:pPr>
      <w:r w:rsidRPr="00F0311E">
        <w:t>Ongoing monitoring </w:t>
      </w:r>
    </w:p>
    <w:p w14:paraId="2521DD8F" w14:textId="4C6EAA4C" w:rsidR="00D75AB9" w:rsidRPr="005C2F17" w:rsidRDefault="00B43690" w:rsidP="008F7CF0">
      <w:pPr>
        <w:rPr>
          <w:b/>
          <w:bCs/>
        </w:rPr>
      </w:pPr>
      <w:r w:rsidRPr="005C2F17">
        <w:t>To provide independent oversight of the aged care system, we need to know what is going on across the aged care system. </w:t>
      </w:r>
    </w:p>
    <w:p w14:paraId="08DAF662" w14:textId="77777777" w:rsidR="00B43690" w:rsidRPr="00844A0C" w:rsidRDefault="00B43690" w:rsidP="008F7CF0">
      <w:pPr>
        <w:rPr>
          <w:shd w:val="clear" w:color="auto" w:fill="FFFFFF"/>
        </w:rPr>
      </w:pPr>
      <w:r w:rsidRPr="00844A0C">
        <w:rPr>
          <w:shd w:val="clear" w:color="auto" w:fill="FFFFFF"/>
        </w:rPr>
        <w:t>We use our information-gathering powers to monitor decisions, programs, operations, and funding. This allows us to: </w:t>
      </w:r>
    </w:p>
    <w:p w14:paraId="532AC4F9" w14:textId="473176B9" w:rsidR="00B43690" w:rsidRPr="008F7CF0" w:rsidRDefault="00B43690" w:rsidP="008F7CF0">
      <w:pPr>
        <w:pStyle w:val="ListParagraph"/>
        <w:numPr>
          <w:ilvl w:val="0"/>
          <w:numId w:val="23"/>
        </w:numPr>
        <w:rPr>
          <w:rFonts w:cstheme="minorHAnsi"/>
          <w:shd w:val="clear" w:color="auto" w:fill="FFFFFF"/>
        </w:rPr>
      </w:pPr>
      <w:r w:rsidRPr="008F7CF0">
        <w:rPr>
          <w:rFonts w:cstheme="minorHAnsi"/>
          <w:shd w:val="clear" w:color="auto" w:fill="FFFFFF"/>
        </w:rPr>
        <w:t xml:space="preserve">understand what is </w:t>
      </w:r>
      <w:proofErr w:type="gramStart"/>
      <w:r w:rsidRPr="008F7CF0">
        <w:rPr>
          <w:rFonts w:cstheme="minorHAnsi"/>
          <w:shd w:val="clear" w:color="auto" w:fill="FFFFFF"/>
        </w:rPr>
        <w:t>happening</w:t>
      </w:r>
      <w:proofErr w:type="gramEnd"/>
    </w:p>
    <w:p w14:paraId="2AD36737" w14:textId="742F9868" w:rsidR="00B43690" w:rsidRPr="008F7CF0" w:rsidRDefault="00B43690" w:rsidP="008F7CF0">
      <w:pPr>
        <w:pStyle w:val="ListParagraph"/>
        <w:numPr>
          <w:ilvl w:val="0"/>
          <w:numId w:val="23"/>
        </w:numPr>
        <w:rPr>
          <w:rFonts w:cstheme="minorHAnsi"/>
          <w:shd w:val="clear" w:color="auto" w:fill="FFFFFF"/>
        </w:rPr>
      </w:pPr>
      <w:r w:rsidRPr="008F7CF0">
        <w:rPr>
          <w:rFonts w:cstheme="minorHAnsi"/>
          <w:shd w:val="clear" w:color="auto" w:fill="FFFFFF"/>
        </w:rPr>
        <w:t xml:space="preserve">identify emerging trends or </w:t>
      </w:r>
      <w:proofErr w:type="gramStart"/>
      <w:r w:rsidRPr="008F7CF0">
        <w:rPr>
          <w:rFonts w:cstheme="minorHAnsi"/>
          <w:shd w:val="clear" w:color="auto" w:fill="FFFFFF"/>
        </w:rPr>
        <w:t>patterns</w:t>
      </w:r>
      <w:proofErr w:type="gramEnd"/>
    </w:p>
    <w:p w14:paraId="4890939C" w14:textId="6663AEFA" w:rsidR="00EB72F2" w:rsidRPr="008F7CF0" w:rsidRDefault="00B43690" w:rsidP="008F7CF0">
      <w:pPr>
        <w:pStyle w:val="ListParagraph"/>
        <w:numPr>
          <w:ilvl w:val="0"/>
          <w:numId w:val="23"/>
        </w:numPr>
        <w:rPr>
          <w:rFonts w:cstheme="minorHAnsi"/>
          <w:shd w:val="clear" w:color="auto" w:fill="FFFFFF"/>
        </w:rPr>
      </w:pPr>
      <w:r w:rsidRPr="008F7CF0">
        <w:rPr>
          <w:rFonts w:cstheme="minorHAnsi"/>
          <w:shd w:val="clear" w:color="auto" w:fill="FFFFFF"/>
        </w:rPr>
        <w:t>gather insights. </w:t>
      </w:r>
    </w:p>
    <w:p w14:paraId="1BD6EB8A" w14:textId="77777777" w:rsidR="00B43690" w:rsidRPr="00EB72F2" w:rsidRDefault="00B43690" w:rsidP="008F7CF0">
      <w:pPr>
        <w:rPr>
          <w:shd w:val="clear" w:color="auto" w:fill="FFFFFF"/>
        </w:rPr>
      </w:pPr>
      <w:r w:rsidRPr="00EB72F2">
        <w:rPr>
          <w:shd w:val="clear" w:color="auto" w:fill="FFFFFF"/>
        </w:rPr>
        <w:t>We analyse this intelligence, and information from our stakeholders, media and other reviews and reports, to: </w:t>
      </w:r>
    </w:p>
    <w:p w14:paraId="1F16BB37" w14:textId="60F6BB8D" w:rsidR="00B43690" w:rsidRPr="008F7CF0" w:rsidRDefault="00B43690" w:rsidP="008F7CF0">
      <w:pPr>
        <w:pStyle w:val="ListParagraph"/>
        <w:numPr>
          <w:ilvl w:val="0"/>
          <w:numId w:val="24"/>
        </w:numPr>
        <w:rPr>
          <w:rFonts w:cstheme="minorHAnsi"/>
          <w:shd w:val="clear" w:color="auto" w:fill="FFFFFF"/>
        </w:rPr>
      </w:pPr>
      <w:r w:rsidRPr="008F7CF0">
        <w:rPr>
          <w:rFonts w:cstheme="minorHAnsi"/>
          <w:shd w:val="clear" w:color="auto" w:fill="FFFFFF"/>
        </w:rPr>
        <w:t xml:space="preserve">identify </w:t>
      </w:r>
      <w:proofErr w:type="gramStart"/>
      <w:r w:rsidRPr="008F7CF0">
        <w:rPr>
          <w:rFonts w:cstheme="minorHAnsi"/>
          <w:shd w:val="clear" w:color="auto" w:fill="FFFFFF"/>
        </w:rPr>
        <w:t>issues</w:t>
      </w:r>
      <w:proofErr w:type="gramEnd"/>
    </w:p>
    <w:p w14:paraId="4618FBA8" w14:textId="7485EE1B" w:rsidR="00B43690" w:rsidRPr="008F7CF0" w:rsidRDefault="00B43690" w:rsidP="008F7CF0">
      <w:pPr>
        <w:pStyle w:val="ListParagraph"/>
        <w:numPr>
          <w:ilvl w:val="0"/>
          <w:numId w:val="24"/>
        </w:numPr>
        <w:rPr>
          <w:rFonts w:cstheme="minorHAnsi"/>
          <w:shd w:val="clear" w:color="auto" w:fill="FFFFFF"/>
        </w:rPr>
      </w:pPr>
      <w:r w:rsidRPr="008F7CF0">
        <w:rPr>
          <w:rFonts w:cstheme="minorHAnsi"/>
          <w:shd w:val="clear" w:color="auto" w:fill="FFFFFF"/>
        </w:rPr>
        <w:t xml:space="preserve">analyse the health of the </w:t>
      </w:r>
      <w:proofErr w:type="gramStart"/>
      <w:r w:rsidRPr="008F7CF0">
        <w:rPr>
          <w:rFonts w:cstheme="minorHAnsi"/>
          <w:shd w:val="clear" w:color="auto" w:fill="FFFFFF"/>
        </w:rPr>
        <w:t>system</w:t>
      </w:r>
      <w:proofErr w:type="gramEnd"/>
    </w:p>
    <w:p w14:paraId="2EDF212E" w14:textId="647ECF69" w:rsidR="00EB72F2" w:rsidRPr="008F7CF0" w:rsidRDefault="00B43690" w:rsidP="008F7CF0">
      <w:pPr>
        <w:pStyle w:val="ListParagraph"/>
        <w:numPr>
          <w:ilvl w:val="0"/>
          <w:numId w:val="24"/>
        </w:numPr>
        <w:rPr>
          <w:rFonts w:cstheme="minorHAnsi"/>
          <w:shd w:val="clear" w:color="auto" w:fill="FFFFFF"/>
        </w:rPr>
      </w:pPr>
      <w:r w:rsidRPr="008F7CF0">
        <w:rPr>
          <w:rFonts w:cstheme="minorHAnsi"/>
          <w:shd w:val="clear" w:color="auto" w:fill="FFFFFF"/>
        </w:rPr>
        <w:t>interpret and report findings to the public, government, and parliament. </w:t>
      </w:r>
    </w:p>
    <w:p w14:paraId="443A39B8" w14:textId="734574FD" w:rsidR="00EB72F2" w:rsidRPr="00EB72F2" w:rsidRDefault="00B43690" w:rsidP="008F7CF0">
      <w:pPr>
        <w:rPr>
          <w:shd w:val="clear" w:color="auto" w:fill="FFFFFF"/>
        </w:rPr>
      </w:pPr>
      <w:r w:rsidRPr="00EB72F2">
        <w:rPr>
          <w:shd w:val="clear" w:color="auto" w:fill="FFFFFF"/>
        </w:rPr>
        <w:t>This may also lead to a full review. </w:t>
      </w:r>
    </w:p>
    <w:p w14:paraId="5B47F2BE" w14:textId="25F1A713" w:rsidR="00D75AB9" w:rsidRPr="00F0311E" w:rsidRDefault="00B43690" w:rsidP="008F7CF0">
      <w:pPr>
        <w:pStyle w:val="Heading2"/>
      </w:pPr>
      <w:r w:rsidRPr="00F0311E">
        <w:t>Reports </w:t>
      </w:r>
    </w:p>
    <w:p w14:paraId="0424042B" w14:textId="204A3E62" w:rsidR="00B43690" w:rsidRPr="00EB72F2" w:rsidRDefault="00B43690" w:rsidP="008F7CF0">
      <w:pPr>
        <w:rPr>
          <w:shd w:val="clear" w:color="auto" w:fill="FFFFFF"/>
        </w:rPr>
      </w:pPr>
      <w:r w:rsidRPr="00EB72F2">
        <w:rPr>
          <w:shd w:val="clear" w:color="auto" w:fill="FFFFFF"/>
        </w:rPr>
        <w:t>We produce a range of reports, such as: </w:t>
      </w:r>
    </w:p>
    <w:p w14:paraId="74C08C5B" w14:textId="510C7280" w:rsidR="00B43690" w:rsidRPr="008F7CF0" w:rsidRDefault="00B43690" w:rsidP="008F7CF0">
      <w:pPr>
        <w:pStyle w:val="ListParagraph"/>
        <w:numPr>
          <w:ilvl w:val="0"/>
          <w:numId w:val="25"/>
        </w:numPr>
        <w:rPr>
          <w:rFonts w:cstheme="minorHAnsi"/>
          <w:shd w:val="clear" w:color="auto" w:fill="FFFFFF"/>
        </w:rPr>
      </w:pPr>
      <w:r w:rsidRPr="008F7CF0">
        <w:rPr>
          <w:rFonts w:cstheme="minorHAnsi"/>
          <w:shd w:val="clear" w:color="auto" w:fill="FFFFFF"/>
        </w:rPr>
        <w:t xml:space="preserve">review reports – these include our findings and recommendations after we have examined and evaluated a systemic </w:t>
      </w:r>
      <w:proofErr w:type="gramStart"/>
      <w:r w:rsidRPr="008F7CF0">
        <w:rPr>
          <w:rFonts w:cstheme="minorHAnsi"/>
          <w:shd w:val="clear" w:color="auto" w:fill="FFFFFF"/>
        </w:rPr>
        <w:t>issue</w:t>
      </w:r>
      <w:proofErr w:type="gramEnd"/>
    </w:p>
    <w:p w14:paraId="2DF8E517" w14:textId="65917988" w:rsidR="00B43690" w:rsidRPr="008F7CF0" w:rsidRDefault="00B43690" w:rsidP="008F7CF0">
      <w:pPr>
        <w:pStyle w:val="ListParagraph"/>
        <w:numPr>
          <w:ilvl w:val="0"/>
          <w:numId w:val="25"/>
        </w:numPr>
        <w:rPr>
          <w:rFonts w:cstheme="minorHAnsi"/>
          <w:shd w:val="clear" w:color="auto" w:fill="FFFFFF"/>
        </w:rPr>
      </w:pPr>
      <w:r w:rsidRPr="008F7CF0">
        <w:rPr>
          <w:rFonts w:cstheme="minorHAnsi"/>
          <w:shd w:val="clear" w:color="auto" w:fill="FFFFFF"/>
        </w:rPr>
        <w:t xml:space="preserve">progress reports – these provide updates on the implementation of Royal Commission </w:t>
      </w:r>
      <w:proofErr w:type="gramStart"/>
      <w:r w:rsidRPr="008F7CF0">
        <w:rPr>
          <w:rFonts w:cstheme="minorHAnsi"/>
          <w:shd w:val="clear" w:color="auto" w:fill="FFFFFF"/>
        </w:rPr>
        <w:t>recommendations</w:t>
      </w:r>
      <w:proofErr w:type="gramEnd"/>
    </w:p>
    <w:p w14:paraId="2126C5D9" w14:textId="52C243AF" w:rsidR="0064711C" w:rsidRPr="008F7CF0" w:rsidRDefault="00B43690" w:rsidP="008F7CF0">
      <w:pPr>
        <w:pStyle w:val="ListParagraph"/>
        <w:numPr>
          <w:ilvl w:val="0"/>
          <w:numId w:val="25"/>
        </w:numPr>
        <w:rPr>
          <w:rFonts w:cstheme="minorHAnsi"/>
          <w:shd w:val="clear" w:color="auto" w:fill="FFFFFF"/>
        </w:rPr>
      </w:pPr>
      <w:r w:rsidRPr="008F7CF0">
        <w:rPr>
          <w:rFonts w:cstheme="minorHAnsi"/>
          <w:shd w:val="clear" w:color="auto" w:fill="FFFFFF"/>
        </w:rPr>
        <w:t xml:space="preserve">corporate reports – these include our annual reports and corporate </w:t>
      </w:r>
      <w:proofErr w:type="gramStart"/>
      <w:r w:rsidRPr="008F7CF0">
        <w:rPr>
          <w:rFonts w:cstheme="minorHAnsi"/>
          <w:shd w:val="clear" w:color="auto" w:fill="FFFFFF"/>
        </w:rPr>
        <w:t>plans</w:t>
      </w:r>
      <w:proofErr w:type="gramEnd"/>
    </w:p>
    <w:p w14:paraId="40797E9E" w14:textId="2FB96C15" w:rsidR="00B43690" w:rsidRPr="008F7CF0" w:rsidRDefault="0064711C" w:rsidP="008F7CF0">
      <w:pPr>
        <w:pStyle w:val="ListParagraph"/>
        <w:numPr>
          <w:ilvl w:val="0"/>
          <w:numId w:val="25"/>
        </w:numPr>
        <w:rPr>
          <w:rFonts w:cstheme="minorHAnsi"/>
          <w:shd w:val="clear" w:color="auto" w:fill="FFFFFF"/>
        </w:rPr>
      </w:pPr>
      <w:r w:rsidRPr="008F7CF0">
        <w:rPr>
          <w:rFonts w:cstheme="minorHAnsi"/>
          <w:shd w:val="clear" w:color="auto" w:fill="FFFFFF"/>
        </w:rPr>
        <w:t>other reports – these are standalone reports on government bodies or the aged care system as a whole.</w:t>
      </w:r>
    </w:p>
    <w:p w14:paraId="27DA6170" w14:textId="3B6FDE44" w:rsidR="00166D16" w:rsidRPr="00E04BCE" w:rsidRDefault="66FC57EB" w:rsidP="008F7CF0">
      <w:pPr>
        <w:pStyle w:val="Heading2"/>
      </w:pPr>
      <w:r w:rsidRPr="00E04BCE">
        <w:t>Contact</w:t>
      </w:r>
    </w:p>
    <w:p w14:paraId="2623DEA9" w14:textId="77777777" w:rsidR="00DD283E" w:rsidRPr="00DD283E" w:rsidRDefault="00DD283E" w:rsidP="008F7CF0">
      <w:pPr>
        <w:rPr>
          <w:lang w:eastAsia="en-AU"/>
        </w:rPr>
      </w:pPr>
      <w:r w:rsidRPr="00DD283E">
        <w:rPr>
          <w:lang w:eastAsia="en-AU"/>
        </w:rPr>
        <w:t>For any enquiries relating to the Office of the Inspector-General of Aged Care:</w:t>
      </w:r>
    </w:p>
    <w:p w14:paraId="4921BC88" w14:textId="55EDACCC" w:rsidR="00DD283E" w:rsidRPr="00DD283E" w:rsidRDefault="00DD283E" w:rsidP="00DD283E">
      <w:pPr>
        <w:rPr>
          <w:rFonts w:eastAsia="Times New Roman" w:cstheme="minorBidi"/>
          <w:lang w:eastAsia="en-AU"/>
        </w:rPr>
      </w:pPr>
      <w:r w:rsidRPr="00DD283E">
        <w:rPr>
          <w:rFonts w:eastAsia="Times New Roman" w:cstheme="minorBidi"/>
          <w:lang w:eastAsia="en-AU"/>
        </w:rPr>
        <w:t xml:space="preserve">Website: </w:t>
      </w:r>
      <w:hyperlink r:id="rId10" w:history="1">
        <w:r w:rsidRPr="00DD283E">
          <w:rPr>
            <w:rStyle w:val="Hyperlink"/>
            <w:rFonts w:eastAsia="Times New Roman" w:cstheme="minorBidi"/>
            <w:lang w:eastAsia="en-AU"/>
          </w:rPr>
          <w:t>igac.gov.au</w:t>
        </w:r>
      </w:hyperlink>
      <w:r w:rsidRPr="00DD283E">
        <w:rPr>
          <w:rFonts w:eastAsia="Times New Roman" w:cstheme="minorBidi"/>
          <w:lang w:eastAsia="en-AU"/>
        </w:rPr>
        <w:t xml:space="preserve"> | Email: </w:t>
      </w:r>
      <w:hyperlink r:id="rId11" w:history="1">
        <w:r w:rsidR="008D1535" w:rsidRPr="002C5904">
          <w:rPr>
            <w:rStyle w:val="Hyperlink"/>
            <w:rFonts w:eastAsia="Times New Roman" w:cstheme="minorBidi"/>
            <w:lang w:eastAsia="en-AU"/>
          </w:rPr>
          <w:t>contact@igac.gov.au</w:t>
        </w:r>
      </w:hyperlink>
      <w:r w:rsidRPr="00DD283E">
        <w:rPr>
          <w:rFonts w:eastAsia="Times New Roman" w:cstheme="minorBidi"/>
          <w:lang w:eastAsia="en-AU"/>
        </w:rPr>
        <w:t xml:space="preserve"> </w:t>
      </w:r>
    </w:p>
    <w:p w14:paraId="38C411C6" w14:textId="77777777" w:rsidR="00DD283E" w:rsidRPr="00E04BCE" w:rsidRDefault="00DD283E">
      <w:pPr>
        <w:rPr>
          <w:rFonts w:eastAsia="Times New Roman" w:cstheme="minorBidi"/>
          <w:lang w:eastAsia="en-AU"/>
        </w:rPr>
      </w:pPr>
    </w:p>
    <w:sectPr w:rsidR="00DD283E" w:rsidRPr="00E04BCE" w:rsidSect="009E313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5AB4C" w14:textId="77777777" w:rsidR="00B56F96" w:rsidRDefault="00B56F96" w:rsidP="0067112A">
      <w:pPr>
        <w:spacing w:after="0" w:line="240" w:lineRule="auto"/>
      </w:pPr>
      <w:r>
        <w:separator/>
      </w:r>
    </w:p>
  </w:endnote>
  <w:endnote w:type="continuationSeparator" w:id="0">
    <w:p w14:paraId="5DEF84D4" w14:textId="77777777" w:rsidR="00B56F96" w:rsidRDefault="00B56F96" w:rsidP="0067112A">
      <w:pPr>
        <w:spacing w:after="0" w:line="240" w:lineRule="auto"/>
      </w:pPr>
      <w:r>
        <w:continuationSeparator/>
      </w:r>
    </w:p>
  </w:endnote>
  <w:endnote w:type="continuationNotice" w:id="1">
    <w:p w14:paraId="2DE35001" w14:textId="77777777" w:rsidR="00B56F96" w:rsidRDefault="00B56F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1BC4" w14:textId="345E0401" w:rsidR="0067112A" w:rsidRDefault="00A53D1D">
    <w:pPr>
      <w:pStyle w:val="Footer"/>
    </w:pPr>
    <w:r>
      <w:rPr>
        <w:noProof/>
      </w:rPr>
      <w:drawing>
        <wp:anchor distT="0" distB="0" distL="114300" distR="114300" simplePos="0" relativeHeight="251670529" behindDoc="1" locked="0" layoutInCell="1" allowOverlap="1" wp14:anchorId="15CC5B41" wp14:editId="49CB7E77">
          <wp:simplePos x="0" y="0"/>
          <wp:positionH relativeFrom="column">
            <wp:posOffset>-933450</wp:posOffset>
          </wp:positionH>
          <wp:positionV relativeFrom="paragraph">
            <wp:posOffset>-1200150</wp:posOffset>
          </wp:positionV>
          <wp:extent cx="7526598" cy="190754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6598" cy="190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932D" w14:textId="1709C0C0" w:rsidR="009E3130" w:rsidRDefault="00E317C8">
    <w:pPr>
      <w:pStyle w:val="Footer"/>
    </w:pPr>
    <w:r>
      <w:rPr>
        <w:noProof/>
      </w:rPr>
      <w:drawing>
        <wp:anchor distT="0" distB="0" distL="114300" distR="114300" simplePos="0" relativeHeight="251666433" behindDoc="1" locked="0" layoutInCell="1" allowOverlap="1" wp14:anchorId="6C3439BF" wp14:editId="3FB3D5A1">
          <wp:simplePos x="0" y="0"/>
          <wp:positionH relativeFrom="column">
            <wp:posOffset>-952500</wp:posOffset>
          </wp:positionH>
          <wp:positionV relativeFrom="paragraph">
            <wp:posOffset>133350</wp:posOffset>
          </wp:positionV>
          <wp:extent cx="7682915" cy="485775"/>
          <wp:effectExtent l="0" t="0" r="0" b="0"/>
          <wp:wrapNone/>
          <wp:docPr id="4" name="Picture 4" descr="Footer with web address igac.gov.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Footer with web address igac.gov.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91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0626E" w14:textId="77777777" w:rsidR="00B56F96" w:rsidRDefault="00B56F96" w:rsidP="0067112A">
      <w:pPr>
        <w:spacing w:after="0" w:line="240" w:lineRule="auto"/>
      </w:pPr>
      <w:r>
        <w:separator/>
      </w:r>
    </w:p>
  </w:footnote>
  <w:footnote w:type="continuationSeparator" w:id="0">
    <w:p w14:paraId="5EFB432A" w14:textId="77777777" w:rsidR="00B56F96" w:rsidRDefault="00B56F96" w:rsidP="0067112A">
      <w:pPr>
        <w:spacing w:after="0" w:line="240" w:lineRule="auto"/>
      </w:pPr>
      <w:r>
        <w:continuationSeparator/>
      </w:r>
    </w:p>
  </w:footnote>
  <w:footnote w:type="continuationNotice" w:id="1">
    <w:p w14:paraId="5C88F6FD" w14:textId="77777777" w:rsidR="00B56F96" w:rsidRDefault="00B56F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7F5A6" w14:textId="6124D8D1" w:rsidR="00093538" w:rsidRDefault="00E603D2">
    <w:pPr>
      <w:pStyle w:val="Header"/>
    </w:pPr>
    <w:r>
      <w:rPr>
        <w:rFonts w:ascii="Arial" w:hAnsi="Arial" w:cs="Arial"/>
        <w:b/>
        <w:bCs/>
        <w:noProof/>
        <w:szCs w:val="28"/>
      </w:rPr>
      <w:drawing>
        <wp:anchor distT="0" distB="0" distL="114300" distR="114300" simplePos="0" relativeHeight="251668481" behindDoc="1" locked="0" layoutInCell="1" allowOverlap="1" wp14:anchorId="5D9EBD50" wp14:editId="281510FB">
          <wp:simplePos x="0" y="0"/>
          <wp:positionH relativeFrom="margin">
            <wp:posOffset>-590550</wp:posOffset>
          </wp:positionH>
          <wp:positionV relativeFrom="margin">
            <wp:posOffset>-850265</wp:posOffset>
          </wp:positionV>
          <wp:extent cx="590550" cy="590550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4D7E0" w14:textId="2C8C9B16" w:rsidR="009E3130" w:rsidRDefault="009E3130">
    <w:pPr>
      <w:pStyle w:val="Header"/>
    </w:pPr>
    <w:r>
      <w:rPr>
        <w:noProof/>
      </w:rPr>
      <w:drawing>
        <wp:anchor distT="0" distB="0" distL="114300" distR="114300" simplePos="0" relativeHeight="251664385" behindDoc="1" locked="0" layoutInCell="1" allowOverlap="1" wp14:anchorId="29265B22" wp14:editId="11169776">
          <wp:simplePos x="0" y="0"/>
          <wp:positionH relativeFrom="column">
            <wp:posOffset>-952500</wp:posOffset>
          </wp:positionH>
          <wp:positionV relativeFrom="paragraph">
            <wp:posOffset>-467360</wp:posOffset>
          </wp:positionV>
          <wp:extent cx="7628394" cy="882869"/>
          <wp:effectExtent l="0" t="0" r="0" b="0"/>
          <wp:wrapNone/>
          <wp:docPr id="1" name="Picture 1" descr="IGAC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GAC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8394" cy="882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4B296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F0190"/>
    <w:multiLevelType w:val="hybridMultilevel"/>
    <w:tmpl w:val="616A82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5945"/>
    <w:multiLevelType w:val="hybridMultilevel"/>
    <w:tmpl w:val="E9A86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288C"/>
    <w:multiLevelType w:val="hybridMultilevel"/>
    <w:tmpl w:val="85EE6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A5832"/>
    <w:multiLevelType w:val="hybridMultilevel"/>
    <w:tmpl w:val="97506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4890"/>
    <w:multiLevelType w:val="multilevel"/>
    <w:tmpl w:val="147C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AF0CEF"/>
    <w:multiLevelType w:val="multilevel"/>
    <w:tmpl w:val="CA10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815F7C"/>
    <w:multiLevelType w:val="multilevel"/>
    <w:tmpl w:val="AC74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6D4E1A"/>
    <w:multiLevelType w:val="multilevel"/>
    <w:tmpl w:val="F9FC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550118"/>
    <w:multiLevelType w:val="hybridMultilevel"/>
    <w:tmpl w:val="46AC96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17649"/>
    <w:multiLevelType w:val="hybridMultilevel"/>
    <w:tmpl w:val="5B763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B43A1"/>
    <w:multiLevelType w:val="hybridMultilevel"/>
    <w:tmpl w:val="668ED1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642F0"/>
    <w:multiLevelType w:val="hybridMultilevel"/>
    <w:tmpl w:val="675463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E79CA"/>
    <w:multiLevelType w:val="hybridMultilevel"/>
    <w:tmpl w:val="21982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73C2C"/>
    <w:multiLevelType w:val="multilevel"/>
    <w:tmpl w:val="43E4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C34E5C"/>
    <w:multiLevelType w:val="multilevel"/>
    <w:tmpl w:val="A5C4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65C0DC4"/>
    <w:multiLevelType w:val="hybridMultilevel"/>
    <w:tmpl w:val="BAE45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3761F"/>
    <w:multiLevelType w:val="multilevel"/>
    <w:tmpl w:val="C860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18942D2"/>
    <w:multiLevelType w:val="multilevel"/>
    <w:tmpl w:val="872C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650F31"/>
    <w:multiLevelType w:val="hybridMultilevel"/>
    <w:tmpl w:val="1D187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0280F"/>
    <w:multiLevelType w:val="multilevel"/>
    <w:tmpl w:val="E926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0030E0"/>
    <w:multiLevelType w:val="hybridMultilevel"/>
    <w:tmpl w:val="8BC461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28787C"/>
    <w:multiLevelType w:val="multilevel"/>
    <w:tmpl w:val="0370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97577EF"/>
    <w:multiLevelType w:val="multilevel"/>
    <w:tmpl w:val="BDD4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4B0F95"/>
    <w:multiLevelType w:val="multilevel"/>
    <w:tmpl w:val="F89E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89350713">
    <w:abstractNumId w:val="14"/>
  </w:num>
  <w:num w:numId="2" w16cid:durableId="1767457491">
    <w:abstractNumId w:val="15"/>
  </w:num>
  <w:num w:numId="3" w16cid:durableId="15542021">
    <w:abstractNumId w:val="18"/>
  </w:num>
  <w:num w:numId="4" w16cid:durableId="772165316">
    <w:abstractNumId w:val="20"/>
  </w:num>
  <w:num w:numId="5" w16cid:durableId="1695761668">
    <w:abstractNumId w:val="12"/>
  </w:num>
  <w:num w:numId="6" w16cid:durableId="1505169938">
    <w:abstractNumId w:val="21"/>
  </w:num>
  <w:num w:numId="7" w16cid:durableId="1442411863">
    <w:abstractNumId w:val="9"/>
  </w:num>
  <w:num w:numId="8" w16cid:durableId="229703879">
    <w:abstractNumId w:val="16"/>
  </w:num>
  <w:num w:numId="9" w16cid:durableId="1422146132">
    <w:abstractNumId w:val="23"/>
  </w:num>
  <w:num w:numId="10" w16cid:durableId="1394347477">
    <w:abstractNumId w:val="10"/>
  </w:num>
  <w:num w:numId="11" w16cid:durableId="952860486">
    <w:abstractNumId w:val="24"/>
  </w:num>
  <w:num w:numId="12" w16cid:durableId="633029129">
    <w:abstractNumId w:val="8"/>
  </w:num>
  <w:num w:numId="13" w16cid:durableId="68892469">
    <w:abstractNumId w:val="5"/>
  </w:num>
  <w:num w:numId="14" w16cid:durableId="1583024602">
    <w:abstractNumId w:val="7"/>
  </w:num>
  <w:num w:numId="15" w16cid:durableId="1733120252">
    <w:abstractNumId w:val="17"/>
  </w:num>
  <w:num w:numId="16" w16cid:durableId="1645692254">
    <w:abstractNumId w:val="6"/>
  </w:num>
  <w:num w:numId="17" w16cid:durableId="1700474290">
    <w:abstractNumId w:val="22"/>
  </w:num>
  <w:num w:numId="18" w16cid:durableId="805195994">
    <w:abstractNumId w:val="0"/>
  </w:num>
  <w:num w:numId="19" w16cid:durableId="522211453">
    <w:abstractNumId w:val="4"/>
  </w:num>
  <w:num w:numId="20" w16cid:durableId="1870293269">
    <w:abstractNumId w:val="3"/>
  </w:num>
  <w:num w:numId="21" w16cid:durableId="217284074">
    <w:abstractNumId w:val="19"/>
  </w:num>
  <w:num w:numId="22" w16cid:durableId="718936923">
    <w:abstractNumId w:val="11"/>
  </w:num>
  <w:num w:numId="23" w16cid:durableId="1706783167">
    <w:abstractNumId w:val="1"/>
  </w:num>
  <w:num w:numId="24" w16cid:durableId="1104837021">
    <w:abstractNumId w:val="13"/>
  </w:num>
  <w:num w:numId="25" w16cid:durableId="936597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F6"/>
    <w:rsid w:val="000158B1"/>
    <w:rsid w:val="000525AC"/>
    <w:rsid w:val="00064B31"/>
    <w:rsid w:val="00084888"/>
    <w:rsid w:val="00093538"/>
    <w:rsid w:val="000C5042"/>
    <w:rsid w:val="00166D16"/>
    <w:rsid w:val="001B6EF5"/>
    <w:rsid w:val="001D383A"/>
    <w:rsid w:val="001D720F"/>
    <w:rsid w:val="00201BB0"/>
    <w:rsid w:val="002061D9"/>
    <w:rsid w:val="00210239"/>
    <w:rsid w:val="00247D22"/>
    <w:rsid w:val="00253A03"/>
    <w:rsid w:val="002629F1"/>
    <w:rsid w:val="00280050"/>
    <w:rsid w:val="002930F8"/>
    <w:rsid w:val="002A1CA1"/>
    <w:rsid w:val="002A6C27"/>
    <w:rsid w:val="002E5CF9"/>
    <w:rsid w:val="003168A0"/>
    <w:rsid w:val="00336688"/>
    <w:rsid w:val="003520E6"/>
    <w:rsid w:val="0036335C"/>
    <w:rsid w:val="00381191"/>
    <w:rsid w:val="003A7D6F"/>
    <w:rsid w:val="00424036"/>
    <w:rsid w:val="004367FE"/>
    <w:rsid w:val="00452F3A"/>
    <w:rsid w:val="004A3B20"/>
    <w:rsid w:val="004B5336"/>
    <w:rsid w:val="00517AA7"/>
    <w:rsid w:val="0057413F"/>
    <w:rsid w:val="00594740"/>
    <w:rsid w:val="005B64C0"/>
    <w:rsid w:val="005C2F17"/>
    <w:rsid w:val="005C3FFC"/>
    <w:rsid w:val="005D10BD"/>
    <w:rsid w:val="005D1270"/>
    <w:rsid w:val="00613F0A"/>
    <w:rsid w:val="00617DBC"/>
    <w:rsid w:val="00630022"/>
    <w:rsid w:val="0064711C"/>
    <w:rsid w:val="00656D1B"/>
    <w:rsid w:val="0067112A"/>
    <w:rsid w:val="006B3FC8"/>
    <w:rsid w:val="006C45BD"/>
    <w:rsid w:val="006F4630"/>
    <w:rsid w:val="00705E44"/>
    <w:rsid w:val="007562F6"/>
    <w:rsid w:val="00765DE4"/>
    <w:rsid w:val="007B37BA"/>
    <w:rsid w:val="007C496B"/>
    <w:rsid w:val="007D7214"/>
    <w:rsid w:val="007E13E7"/>
    <w:rsid w:val="00802104"/>
    <w:rsid w:val="008049F6"/>
    <w:rsid w:val="0083466B"/>
    <w:rsid w:val="0083629A"/>
    <w:rsid w:val="00844A0C"/>
    <w:rsid w:val="00845041"/>
    <w:rsid w:val="008927DF"/>
    <w:rsid w:val="008B73E0"/>
    <w:rsid w:val="008D1535"/>
    <w:rsid w:val="008F6891"/>
    <w:rsid w:val="008F7CF0"/>
    <w:rsid w:val="009126AF"/>
    <w:rsid w:val="00917F91"/>
    <w:rsid w:val="0092161E"/>
    <w:rsid w:val="0093149A"/>
    <w:rsid w:val="00941A0C"/>
    <w:rsid w:val="0094257A"/>
    <w:rsid w:val="0095504B"/>
    <w:rsid w:val="0097690C"/>
    <w:rsid w:val="0099572E"/>
    <w:rsid w:val="00997EEE"/>
    <w:rsid w:val="009C7861"/>
    <w:rsid w:val="009E3130"/>
    <w:rsid w:val="009F117E"/>
    <w:rsid w:val="009F23CE"/>
    <w:rsid w:val="00A32FE5"/>
    <w:rsid w:val="00A53D1D"/>
    <w:rsid w:val="00A90CF3"/>
    <w:rsid w:val="00AA0885"/>
    <w:rsid w:val="00AB6A08"/>
    <w:rsid w:val="00AC2EE0"/>
    <w:rsid w:val="00B1147B"/>
    <w:rsid w:val="00B43690"/>
    <w:rsid w:val="00B45F1A"/>
    <w:rsid w:val="00B56F96"/>
    <w:rsid w:val="00B85EA1"/>
    <w:rsid w:val="00BA275F"/>
    <w:rsid w:val="00BB217A"/>
    <w:rsid w:val="00BC7F7F"/>
    <w:rsid w:val="00C171A9"/>
    <w:rsid w:val="00C37755"/>
    <w:rsid w:val="00C53EBE"/>
    <w:rsid w:val="00C62C7B"/>
    <w:rsid w:val="00C62FAA"/>
    <w:rsid w:val="00C66203"/>
    <w:rsid w:val="00C66C50"/>
    <w:rsid w:val="00C84988"/>
    <w:rsid w:val="00C97900"/>
    <w:rsid w:val="00CB1202"/>
    <w:rsid w:val="00CD4A7D"/>
    <w:rsid w:val="00D3054D"/>
    <w:rsid w:val="00D644AF"/>
    <w:rsid w:val="00D75AB9"/>
    <w:rsid w:val="00D92FF0"/>
    <w:rsid w:val="00DA59B3"/>
    <w:rsid w:val="00DD283E"/>
    <w:rsid w:val="00DE3ACC"/>
    <w:rsid w:val="00DF6426"/>
    <w:rsid w:val="00E04BCE"/>
    <w:rsid w:val="00E317C8"/>
    <w:rsid w:val="00E603D2"/>
    <w:rsid w:val="00E66C89"/>
    <w:rsid w:val="00EA0F9E"/>
    <w:rsid w:val="00EA208C"/>
    <w:rsid w:val="00EB72F2"/>
    <w:rsid w:val="00ECD0C1"/>
    <w:rsid w:val="00EE47A1"/>
    <w:rsid w:val="00EF5588"/>
    <w:rsid w:val="00F0311E"/>
    <w:rsid w:val="00F04070"/>
    <w:rsid w:val="00F13EAE"/>
    <w:rsid w:val="00F14D6C"/>
    <w:rsid w:val="00F73ACD"/>
    <w:rsid w:val="00F779B5"/>
    <w:rsid w:val="00F9498A"/>
    <w:rsid w:val="053446C2"/>
    <w:rsid w:val="074C3E9B"/>
    <w:rsid w:val="10ED7960"/>
    <w:rsid w:val="1393E11D"/>
    <w:rsid w:val="1512EECC"/>
    <w:rsid w:val="230F02D3"/>
    <w:rsid w:val="2BBD7673"/>
    <w:rsid w:val="33B00FB0"/>
    <w:rsid w:val="34CFB567"/>
    <w:rsid w:val="3567928B"/>
    <w:rsid w:val="395233B8"/>
    <w:rsid w:val="45CBB2E8"/>
    <w:rsid w:val="4F355407"/>
    <w:rsid w:val="66FC57EB"/>
    <w:rsid w:val="6C90649E"/>
    <w:rsid w:val="6E0E89D1"/>
    <w:rsid w:val="76A9B56E"/>
    <w:rsid w:val="7BC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58C4BEC"/>
  <w15:chartTrackingRefBased/>
  <w15:docId w15:val="{09AE6C53-C209-41E9-A2B5-01171C22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D22"/>
    <w:rPr>
      <w:rFonts w:asciiTheme="minorHAnsi" w:hAnsiTheme="minorHAnsi"/>
    </w:rPr>
  </w:style>
  <w:style w:type="paragraph" w:styleId="Heading1">
    <w:name w:val="heading 1"/>
    <w:next w:val="Normal"/>
    <w:link w:val="Heading1Char"/>
    <w:uiPriority w:val="9"/>
    <w:qFormat/>
    <w:rsid w:val="00A90CF3"/>
    <w:pPr>
      <w:keepNext/>
      <w:keepLines/>
      <w:spacing w:before="120" w:after="120"/>
      <w:outlineLvl w:val="0"/>
    </w:pPr>
    <w:rPr>
      <w:rFonts w:asciiTheme="minorHAnsi" w:hAnsiTheme="minorHAnsi" w:cs="Arial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9"/>
    <w:qFormat/>
    <w:rsid w:val="00247D22"/>
    <w:pPr>
      <w:keepNext/>
      <w:keepLines/>
      <w:spacing w:before="120" w:after="120"/>
      <w:outlineLvl w:val="1"/>
    </w:pPr>
    <w:rPr>
      <w:rFonts w:eastAsiaTheme="minorEastAsia" w:cstheme="minorBidi"/>
      <w:b/>
      <w:bCs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562F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character" w:customStyle="1" w:styleId="eop">
    <w:name w:val="eop"/>
    <w:basedOn w:val="DefaultParagraphFont"/>
    <w:rsid w:val="007562F6"/>
  </w:style>
  <w:style w:type="character" w:customStyle="1" w:styleId="normaltextrun">
    <w:name w:val="normaltextrun"/>
    <w:basedOn w:val="DefaultParagraphFont"/>
    <w:rsid w:val="007562F6"/>
  </w:style>
  <w:style w:type="paragraph" w:styleId="NormalWeb">
    <w:name w:val="Normal (Web)"/>
    <w:basedOn w:val="Normal"/>
    <w:uiPriority w:val="99"/>
    <w:semiHidden/>
    <w:unhideWhenUsed/>
    <w:rsid w:val="00941A0C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247D22"/>
    <w:rPr>
      <w:rFonts w:asciiTheme="minorHAnsi" w:eastAsiaTheme="minorEastAsia" w:hAnsiTheme="minorHAnsi" w:cstheme="minorBidi"/>
      <w:b/>
      <w:bCs/>
    </w:rPr>
  </w:style>
  <w:style w:type="paragraph" w:styleId="ListParagraph">
    <w:name w:val="List Paragraph"/>
    <w:basedOn w:val="Normal"/>
    <w:uiPriority w:val="34"/>
    <w:qFormat/>
    <w:rsid w:val="00F9498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0CF3"/>
    <w:rPr>
      <w:rFonts w:asciiTheme="minorHAnsi" w:hAnsiTheme="minorHAnsi" w:cs="Arial"/>
      <w:b/>
      <w:bCs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0848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8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1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12A"/>
  </w:style>
  <w:style w:type="paragraph" w:styleId="Footer">
    <w:name w:val="footer"/>
    <w:basedOn w:val="Normal"/>
    <w:link w:val="FooterChar"/>
    <w:uiPriority w:val="99"/>
    <w:unhideWhenUsed/>
    <w:rsid w:val="00671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12A"/>
  </w:style>
  <w:style w:type="paragraph" w:styleId="ListBullet">
    <w:name w:val="List Bullet"/>
    <w:basedOn w:val="Normal"/>
    <w:uiPriority w:val="99"/>
    <w:unhideWhenUsed/>
    <w:rsid w:val="00F73ACD"/>
    <w:pPr>
      <w:numPr>
        <w:numId w:val="1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3E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E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E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E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EAE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104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0210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tact@igac.gov.a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igac.gov.a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tension xmlns="2198ab08-73ba-47ca-9592-b0be8b99793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AC909E31A7740B92FC1F4AA423495" ma:contentTypeVersion="6" ma:contentTypeDescription="Create a new document." ma:contentTypeScope="" ma:versionID="2dc1395e6a29387c2b11cc7c07fef463">
  <xsd:schema xmlns:xsd="http://www.w3.org/2001/XMLSchema" xmlns:xs="http://www.w3.org/2001/XMLSchema" xmlns:p="http://schemas.microsoft.com/office/2006/metadata/properties" xmlns:ns2="2198ab08-73ba-47ca-9592-b0be8b99793c" xmlns:ns3="b43c2291-e1b6-47ff-a130-ab60a193957d" targetNamespace="http://schemas.microsoft.com/office/2006/metadata/properties" ma:root="true" ma:fieldsID="9e124d98022eb279ab15968f338ed586" ns2:_="" ns3:_="">
    <xsd:import namespace="2198ab08-73ba-47ca-9592-b0be8b99793c"/>
    <xsd:import namespace="b43c2291-e1b6-47ff-a130-ab60a1939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Extens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8ab08-73ba-47ca-9592-b0be8b997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xtension" ma:index="11" nillable="true" ma:displayName="Extension" ma:format="Dropdown" ma:internalName="Exten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2291-e1b6-47ff-a130-ab60a1939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874F1D-50D9-4CC5-841F-ECAE6DF0BDFD}">
  <ds:schemaRefs>
    <ds:schemaRef ds:uri="http://schemas.microsoft.com/office/infopath/2007/PartnerControls"/>
    <ds:schemaRef ds:uri="b43c2291-e1b6-47ff-a130-ab60a193957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2198ab08-73ba-47ca-9592-b0be8b99793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32A7D5-B8DB-49A6-B596-F853ECE06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8ab08-73ba-47ca-9592-b0be8b99793c"/>
    <ds:schemaRef ds:uri="b43c2291-e1b6-47ff-a130-ab60a1939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A4AD73-BEDE-4FEF-B998-FFCC1F6E18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3024</Characters>
  <Application>Microsoft Office Word</Application>
  <DocSecurity>4</DocSecurity>
  <Lines>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and functions – Office of the Inspector-General of Aged Care</vt:lpstr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and functions – Office of the Inspector-General of Aged Care</dc:title>
  <dc:subject>IGAC</dc:subject>
  <dc:creator>Australian Government Department of Health and Aged Care</dc:creator>
  <cp:keywords>Aged care</cp:keywords>
  <dc:description/>
  <cp:revision>2</cp:revision>
  <dcterms:created xsi:type="dcterms:W3CDTF">2024-01-23T06:50:00Z</dcterms:created>
  <dcterms:modified xsi:type="dcterms:W3CDTF">2024-01-23T06:50:00Z</dcterms:modified>
</cp:coreProperties>
</file>